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C264E">
      <w:pPr>
        <w:ind w:left="426" w:right="-17"/>
        <w:jc w:val="center"/>
        <w:rPr>
          <w:rFonts w:ascii="Arial" w:hAnsi="Arial" w:cs="Arial"/>
          <w:b/>
        </w:rPr>
      </w:pPr>
      <w:bookmarkStart w:id="0" w:name="_Hlk142658039"/>
    </w:p>
    <w:p w14:paraId="47E5D65F">
      <w:pPr>
        <w:ind w:left="426" w:right="-17"/>
        <w:jc w:val="center"/>
        <w:rPr>
          <w:rFonts w:hint="default" w:ascii="Arial" w:hAnsi="Arial" w:cs="Arial"/>
          <w:b/>
          <w:lang w:val="pt-BR"/>
        </w:rPr>
      </w:pPr>
      <w:r>
        <w:rPr>
          <w:rFonts w:ascii="Arial" w:hAnsi="Arial" w:cs="Arial"/>
          <w:b/>
        </w:rPr>
        <w:t>ANEXO VI</w:t>
      </w:r>
      <w:r>
        <w:rPr>
          <w:rFonts w:hint="default" w:ascii="Arial" w:hAnsi="Arial" w:cs="Arial"/>
          <w:b/>
          <w:lang w:val="pt-BR"/>
        </w:rPr>
        <w:t>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hint="default" w:ascii="Arial" w:hAnsi="Arial" w:cs="Arial"/>
          <w:b/>
          <w:bCs/>
          <w:sz w:val="22"/>
          <w:szCs w:val="22"/>
          <w:lang w:val="pt-BR"/>
        </w:rPr>
        <w:t>nº 37.842/2025</w:t>
      </w:r>
      <w:r>
        <w:rPr>
          <w:rFonts w:ascii="Arial" w:hAnsi="Arial" w:cs="Arial"/>
          <w:b/>
          <w:bCs/>
          <w:color w:val="auto"/>
          <w:sz w:val="22"/>
          <w:szCs w:val="22"/>
        </w:rPr>
        <w:t>,</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 xml:space="preserve">e demais legislações </w:t>
      </w:r>
      <w:r>
        <w:rPr>
          <w:rFonts w:ascii="Arial" w:hAnsi="Arial" w:cs="Arial"/>
          <w:color w:val="auto"/>
          <w:sz w:val="22"/>
          <w:szCs w:val="22"/>
          <w:lang w:val="pt-PT"/>
        </w:rPr>
        <w:t>aplicáveis</w:t>
      </w:r>
      <w:r>
        <w:rPr>
          <w:rFonts w:ascii="Arial" w:hAnsi="Arial" w:cs="Arial"/>
          <w:color w:val="auto"/>
          <w:sz w:val="22"/>
          <w:szCs w:val="22"/>
        </w:rPr>
        <w:t>,</w:t>
      </w:r>
      <w:r>
        <w:rPr>
          <w:rFonts w:ascii="Arial" w:hAnsi="Arial" w:cs="Arial"/>
          <w:i/>
          <w:color w:val="auto"/>
          <w:sz w:val="22"/>
          <w:szCs w:val="22"/>
        </w:rPr>
        <w:t xml:space="preserve"> </w:t>
      </w:r>
      <w:r>
        <w:rPr>
          <w:rFonts w:ascii="Arial" w:hAnsi="Arial" w:cs="Arial"/>
          <w:color w:val="auto"/>
          <w:sz w:val="22"/>
          <w:szCs w:val="22"/>
        </w:rPr>
        <w:t xml:space="preserve">resolvem celebrar o presente Termo de Contrato, decorrente do </w:t>
      </w:r>
      <w:r>
        <w:rPr>
          <w:rFonts w:ascii="Arial" w:hAnsi="Arial" w:cs="Arial"/>
          <w:b/>
          <w:bCs/>
          <w:color w:val="auto"/>
          <w:sz w:val="22"/>
          <w:szCs w:val="22"/>
        </w:rPr>
        <w:t xml:space="preserve">Pregão Eletrônico nº </w:t>
      </w:r>
      <w:r>
        <w:rPr>
          <w:rFonts w:hint="default" w:ascii="Arial" w:hAnsi="Arial" w:cs="Arial"/>
          <w:b/>
          <w:bCs/>
          <w:color w:val="auto"/>
          <w:sz w:val="22"/>
          <w:szCs w:val="22"/>
          <w:lang w:val="pt-BR"/>
        </w:rPr>
        <w:t>90.015/2026</w:t>
      </w:r>
      <w:r>
        <w:rPr>
          <w:rFonts w:ascii="Arial" w:hAnsi="Arial" w:cs="Arial"/>
          <w:color w:val="auto"/>
          <w:sz w:val="22"/>
          <w:szCs w:val="22"/>
        </w:rPr>
        <w:t>,</w:t>
      </w:r>
      <w:r>
        <w:rPr>
          <w:rFonts w:ascii="Arial" w:hAnsi="Arial" w:cs="Arial"/>
          <w:sz w:val="22"/>
          <w:szCs w:val="22"/>
        </w:rPr>
        <w:t xml:space="preserve">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ascii="Arial" w:hAnsi="Arial" w:cs="Arial"/>
          <w:b/>
          <w:bCs w:val="0"/>
          <w:iCs/>
          <w:lang w:val="pt-BR" w:eastAsia="pt-BR"/>
        </w:rPr>
        <w:t xml:space="preserve"> </w:t>
      </w:r>
      <w:r>
        <w:rPr>
          <w:rFonts w:hint="default" w:ascii="Arial" w:hAnsi="Arial" w:cs="Arial"/>
          <w:b/>
          <w:bCs w:val="0"/>
          <w:iCs/>
          <w:lang w:val="pt-BR" w:eastAsia="pt-BR"/>
        </w:rPr>
        <w:t>AQUISIÇÃO DE BATERIAS AUTOMOTIVAS, PARA ATENDER AS NECESSIDADES DA SECRETARIA DE SERVIÇOS E EQUIPAMENTOS PÚBLICOS,</w:t>
      </w:r>
      <w:r>
        <w:rPr>
          <w:rFonts w:ascii="Arial" w:hAnsi="Arial" w:cs="Arial"/>
          <w:bCs/>
          <w:iCs/>
        </w:rPr>
        <w:t xml:space="preserve">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C1594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22EBC8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693E0C64">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7F23CF6A">
      <w:pPr>
        <w:pBdr>
          <w:top w:val="none" w:color="auto" w:sz="0" w:space="0"/>
          <w:left w:val="none" w:color="auto" w:sz="0" w:space="0"/>
          <w:bottom w:val="none" w:color="auto" w:sz="0" w:space="0"/>
          <w:right w:val="none" w:color="auto" w:sz="0" w:space="0"/>
          <w:between w:val="none" w:color="auto" w:sz="0" w:space="0"/>
        </w:pBdr>
        <w:spacing w:line="276" w:lineRule="auto"/>
        <w:jc w:val="both"/>
        <w:rPr>
          <w:rFonts w:hint="default" w:ascii="Arial" w:hAnsi="Arial" w:eastAsia="Verdana" w:cs="Arial"/>
          <w:bCs/>
          <w:iCs/>
          <w:color w:val="auto"/>
          <w:sz w:val="22"/>
          <w:szCs w:val="22"/>
          <w:u w:val="single"/>
          <w:lang w:val="pt-BR" w:eastAsia="en-US" w:bidi="ar-SA"/>
        </w:rPr>
      </w:pPr>
      <w:r>
        <w:rPr>
          <w:rFonts w:hint="default" w:ascii="Arial" w:hAnsi="Arial" w:eastAsia="Verdana" w:cs="Arial"/>
          <w:bCs/>
          <w:iCs/>
          <w:color w:val="auto"/>
          <w:sz w:val="22"/>
          <w:szCs w:val="22"/>
          <w:u w:val="single"/>
          <w:lang w:val="pt-BR" w:eastAsia="en-US" w:bidi="ar-SA"/>
        </w:rPr>
        <w:t xml:space="preserve">3.1 </w:t>
      </w:r>
      <w:r>
        <w:rPr>
          <w:rFonts w:ascii="Arial" w:hAnsi="Arial" w:eastAsia="Verdana" w:cs="Arial"/>
          <w:bCs/>
          <w:iCs/>
          <w:color w:val="auto"/>
          <w:sz w:val="22"/>
          <w:szCs w:val="22"/>
          <w:u w:val="single"/>
          <w:lang w:val="pt-PT" w:eastAsia="en-US" w:bidi="ar-SA"/>
        </w:rPr>
        <w:t>MODELO DE EXECUÇÃO DO OBJETO (arts. 6º, XXIII, alínea “e” e 40, §1º, inciso II, da Lei nº 14.133/2021)</w:t>
      </w:r>
      <w:r>
        <w:rPr>
          <w:rFonts w:hint="default" w:ascii="Arial" w:hAnsi="Arial" w:eastAsia="Verdana" w:cs="Arial"/>
          <w:bCs/>
          <w:iCs/>
          <w:color w:val="auto"/>
          <w:sz w:val="22"/>
          <w:szCs w:val="22"/>
          <w:u w:val="single"/>
          <w:lang w:val="pt-BR" w:eastAsia="en-US" w:bidi="ar-SA"/>
        </w:rPr>
        <w:t>:</w:t>
      </w:r>
    </w:p>
    <w:p w14:paraId="7886D2C8">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BR" w:eastAsia="en-US" w:bidi="ar-SA"/>
        </w:rPr>
      </w:pPr>
      <w:r>
        <w:rPr>
          <w:rFonts w:hint="default" w:ascii="Arial" w:hAnsi="Arial" w:cs="Arial"/>
          <w:bCs/>
          <w:iCs/>
          <w:color w:val="auto"/>
          <w:sz w:val="22"/>
          <w:szCs w:val="22"/>
          <w:lang w:val="pt-BR" w:eastAsia="en-US" w:bidi="ar-SA"/>
        </w:rPr>
        <w:t xml:space="preserve">3.1.1 </w:t>
      </w:r>
      <w:r>
        <w:rPr>
          <w:rFonts w:hint="default" w:ascii="Arial" w:hAnsi="Arial" w:eastAsia="Verdana" w:cs="Arial"/>
          <w:bCs/>
          <w:iCs/>
          <w:color w:val="auto"/>
          <w:sz w:val="22"/>
          <w:szCs w:val="22"/>
          <w:lang w:val="pt-BR" w:eastAsia="en-US" w:bidi="ar-SA"/>
        </w:rPr>
        <w:t>O fornecimento será efetuado no endereço abaixo, com prazo de entrega não superior a 30 (trinta) dias, contados do recebimento da requisição e Nota de Empenho.</w:t>
      </w:r>
    </w:p>
    <w:p w14:paraId="62E409DF">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overflowPunct/>
        <w:spacing w:line="360" w:lineRule="auto"/>
        <w:jc w:val="both"/>
        <w:rPr>
          <w:rFonts w:hint="default" w:ascii="Arial" w:hAnsi="Arial" w:eastAsia="Verdana" w:cs="Arial"/>
          <w:bCs/>
          <w:iCs/>
          <w:color w:val="auto"/>
          <w:sz w:val="22"/>
          <w:szCs w:val="22"/>
          <w:lang w:val="pt-BR" w:eastAsia="en-US" w:bidi="ar-SA"/>
        </w:rPr>
      </w:pPr>
      <w:r>
        <w:rPr>
          <w:rFonts w:hint="default" w:ascii="Arial" w:hAnsi="Arial" w:cs="Arial"/>
          <w:bCs/>
          <w:iCs/>
          <w:color w:val="auto"/>
          <w:sz w:val="22"/>
          <w:szCs w:val="22"/>
          <w:lang w:val="pt-BR" w:eastAsia="en-US" w:bidi="ar-SA"/>
        </w:rPr>
        <w:t xml:space="preserve">3.1.2 </w:t>
      </w:r>
      <w:r>
        <w:rPr>
          <w:rFonts w:hint="default" w:ascii="Arial" w:hAnsi="Arial" w:eastAsia="Verdana" w:cs="Arial"/>
          <w:bCs/>
          <w:iCs/>
          <w:color w:val="auto"/>
          <w:sz w:val="22"/>
          <w:szCs w:val="22"/>
          <w:lang w:val="pt-PT" w:eastAsia="en-US" w:bidi="ar-SA"/>
        </w:rPr>
        <w:t xml:space="preserve">Caso não seja possível a entrega na data assinalada, a empresa deverá comunicar as razões respectivas com pelo menos </w:t>
      </w:r>
      <w:r>
        <w:rPr>
          <w:rFonts w:hint="default" w:ascii="Arial" w:hAnsi="Arial" w:eastAsia="Verdana" w:cs="Arial"/>
          <w:bCs/>
          <w:iCs/>
          <w:color w:val="auto"/>
          <w:sz w:val="22"/>
          <w:szCs w:val="22"/>
          <w:lang w:val="pt-BR" w:eastAsia="en-US" w:bidi="ar-SA"/>
        </w:rPr>
        <w:t>3 (três)</w:t>
      </w:r>
      <w:r>
        <w:rPr>
          <w:rFonts w:hint="default" w:ascii="Arial" w:hAnsi="Arial" w:eastAsia="Verdana" w:cs="Arial"/>
          <w:bCs/>
          <w:iCs/>
          <w:color w:val="auto"/>
          <w:sz w:val="22"/>
          <w:szCs w:val="22"/>
          <w:lang w:val="pt-PT" w:eastAsia="en-US" w:bidi="ar-SA"/>
        </w:rPr>
        <w:t xml:space="preserve"> dias de antecedência para que qualquer pleito de prorrogação de prazo seja analisado, ressalvadas situações de caso fortuito e força maior.</w:t>
      </w:r>
    </w:p>
    <w:p w14:paraId="1F8890F1">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BR" w:eastAsia="en-US" w:bidi="ar-SA"/>
        </w:rPr>
      </w:pPr>
      <w:r>
        <w:rPr>
          <w:rFonts w:hint="default" w:ascii="Arial" w:hAnsi="Arial" w:cs="Arial"/>
          <w:bCs/>
          <w:iCs/>
          <w:color w:val="auto"/>
          <w:sz w:val="22"/>
          <w:szCs w:val="22"/>
          <w:lang w:val="pt-BR" w:eastAsia="en-US" w:bidi="ar-SA"/>
        </w:rPr>
        <w:t xml:space="preserve">3.1.3 </w:t>
      </w:r>
      <w:r>
        <w:rPr>
          <w:rFonts w:hint="default" w:ascii="Arial" w:hAnsi="Arial" w:eastAsia="Verdana" w:cs="Arial"/>
          <w:bCs/>
          <w:iCs/>
          <w:color w:val="auto"/>
          <w:sz w:val="22"/>
          <w:szCs w:val="22"/>
          <w:lang w:val="pt-BR" w:eastAsia="en-US" w:bidi="ar-SA"/>
        </w:rPr>
        <w:t xml:space="preserve">Os fornecimentos das baterias deverão ser realizados no seguinte endereço: </w:t>
      </w:r>
    </w:p>
    <w:tbl>
      <w:tblPr>
        <w:tblStyle w:val="17"/>
        <w:tblW w:w="9082"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06"/>
        <w:gridCol w:w="6324"/>
      </w:tblGrid>
      <w:tr w14:paraId="441E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Borders>
              <w:left w:val="nil"/>
              <w:right w:val="nil"/>
            </w:tcBorders>
            <w:vAlign w:val="center"/>
          </w:tcPr>
          <w:p w14:paraId="55C3CA76">
            <w:pPr>
              <w:pStyle w:val="19"/>
              <w:overflowPunct w:val="0"/>
              <w:ind w:left="0"/>
              <w:jc w:val="both"/>
              <w:rPr>
                <w:rFonts w:hint="default"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PT" w:eastAsia="en-US" w:bidi="ar-SA"/>
              </w:rPr>
              <w:t>Secretaria requisitante:</w:t>
            </w:r>
          </w:p>
        </w:tc>
        <w:tc>
          <w:tcPr>
            <w:tcW w:w="6324" w:type="dxa"/>
            <w:tcBorders>
              <w:left w:val="nil"/>
              <w:right w:val="nil"/>
            </w:tcBorders>
            <w:vAlign w:val="center"/>
          </w:tcPr>
          <w:p w14:paraId="77FACC66">
            <w:pPr>
              <w:pStyle w:val="19"/>
              <w:overflowPunct w:val="0"/>
              <w:ind w:left="0"/>
              <w:jc w:val="both"/>
              <w:rPr>
                <w:rFonts w:hint="default" w:ascii="Arial" w:hAnsi="Arial" w:eastAsia="Verdana" w:cs="Arial"/>
                <w:bCs/>
                <w:iCs/>
                <w:color w:val="auto"/>
                <w:sz w:val="22"/>
                <w:szCs w:val="22"/>
                <w:lang w:val="pt-BR" w:eastAsia="en-US" w:bidi="ar-SA"/>
              </w:rPr>
            </w:pPr>
            <w:r>
              <w:rPr>
                <w:rFonts w:hint="default" w:ascii="Arial" w:hAnsi="Arial" w:eastAsia="Verdana" w:cs="Arial"/>
                <w:bCs/>
                <w:iCs/>
                <w:color w:val="auto"/>
                <w:sz w:val="22"/>
                <w:szCs w:val="22"/>
                <w:lang w:val="pt-BR" w:eastAsia="en-US" w:bidi="ar-SA"/>
              </w:rPr>
              <w:t>Subsecretaria de Manutenção de Equipamentos</w:t>
            </w:r>
          </w:p>
        </w:tc>
      </w:tr>
      <w:tr w14:paraId="0C3C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left w:val="nil"/>
              <w:right w:val="nil"/>
            </w:tcBorders>
            <w:vAlign w:val="center"/>
          </w:tcPr>
          <w:p w14:paraId="0032CE8E">
            <w:pPr>
              <w:pStyle w:val="19"/>
              <w:overflowPunct w:val="0"/>
              <w:ind w:left="0"/>
              <w:jc w:val="both"/>
              <w:rPr>
                <w:rFonts w:hint="default"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PT" w:eastAsia="en-US" w:bidi="ar-SA"/>
              </w:rPr>
              <w:t>Endereço:</w:t>
            </w:r>
          </w:p>
        </w:tc>
        <w:tc>
          <w:tcPr>
            <w:tcW w:w="6530" w:type="dxa"/>
            <w:gridSpan w:val="2"/>
            <w:tcBorders>
              <w:left w:val="nil"/>
              <w:right w:val="nil"/>
            </w:tcBorders>
            <w:vAlign w:val="center"/>
          </w:tcPr>
          <w:p w14:paraId="1DAD8DAB">
            <w:pPr>
              <w:pStyle w:val="13"/>
              <w:keepNext w:val="0"/>
              <w:keepLines w:val="0"/>
              <w:widowControl/>
              <w:suppressLineNumbers w:val="0"/>
              <w:spacing w:before="0" w:beforeAutospacing="0" w:after="0" w:afterAutospacing="0" w:line="240" w:lineRule="auto"/>
              <w:ind w:left="183" w:leftChars="83" w:firstLine="0" w:firstLineChars="0"/>
              <w:jc w:val="left"/>
              <w:rPr>
                <w:rFonts w:hint="default" w:ascii="Arial" w:hAnsi="Arial" w:eastAsia="Verdana" w:cs="Arial"/>
                <w:bCs/>
                <w:iCs/>
                <w:color w:val="auto"/>
                <w:sz w:val="22"/>
                <w:szCs w:val="22"/>
                <w:lang w:val="pt-BR" w:eastAsia="en-US" w:bidi="ar-SA"/>
              </w:rPr>
            </w:pPr>
            <w:r>
              <w:rPr>
                <w:rFonts w:hint="default" w:ascii="Arial" w:hAnsi="Arial" w:eastAsia="Verdana" w:cs="Arial"/>
                <w:bCs/>
                <w:iCs/>
                <w:color w:val="auto"/>
                <w:sz w:val="22"/>
                <w:szCs w:val="22"/>
                <w:lang w:val="pt-BR" w:eastAsia="en-US" w:bidi="ar-SA"/>
              </w:rPr>
              <w:t xml:space="preserve">ALMOXARIFADO CENTRAL DA PREFEITURA DE NOVA FRIBURGO </w:t>
            </w:r>
          </w:p>
          <w:p w14:paraId="42956E94">
            <w:pPr>
              <w:pStyle w:val="13"/>
              <w:keepNext w:val="0"/>
              <w:keepLines w:val="0"/>
              <w:widowControl/>
              <w:suppressLineNumbers w:val="0"/>
              <w:spacing w:before="0" w:beforeAutospacing="0" w:after="0" w:afterAutospacing="0" w:line="240" w:lineRule="auto"/>
              <w:ind w:left="183" w:leftChars="83" w:firstLine="0" w:firstLineChars="0"/>
              <w:jc w:val="left"/>
              <w:rPr>
                <w:rFonts w:hint="default"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BR" w:eastAsia="en-US" w:bidi="ar-SA"/>
              </w:rPr>
              <w:t>Endereço:</w:t>
            </w:r>
            <w:r>
              <w:rPr>
                <w:rFonts w:ascii="Arial" w:hAnsi="Arial" w:eastAsia="Verdana" w:cs="Arial"/>
                <w:bCs/>
                <w:iCs/>
                <w:color w:val="auto"/>
                <w:sz w:val="22"/>
                <w:szCs w:val="22"/>
                <w:lang w:val="pt-PT" w:eastAsia="en-US" w:bidi="ar-SA"/>
              </w:rPr>
              <w:t> </w:t>
            </w:r>
            <w:r>
              <w:rPr>
                <w:rFonts w:hint="default" w:ascii="Arial" w:hAnsi="Arial" w:eastAsia="Verdana" w:cs="Arial"/>
                <w:bCs/>
                <w:iCs/>
                <w:color w:val="auto"/>
                <w:sz w:val="22"/>
                <w:szCs w:val="22"/>
                <w:lang w:val="pt-PT" w:eastAsia="en-US" w:bidi="ar-SA"/>
              </w:rPr>
              <w:t>Rua Clarindo da Rosa Teixeira, 130 A, Conselheiro Paulino - Nova Friburgo</w:t>
            </w:r>
            <w:r>
              <w:rPr>
                <w:rFonts w:hint="default" w:ascii="Arial" w:hAnsi="Arial" w:eastAsia="Verdana" w:cs="Arial"/>
                <w:bCs/>
                <w:iCs/>
                <w:color w:val="auto"/>
                <w:sz w:val="22"/>
                <w:szCs w:val="22"/>
                <w:lang w:val="pt-BR" w:eastAsia="en-US" w:bidi="ar-SA"/>
              </w:rPr>
              <w:t>/RJ</w:t>
            </w:r>
            <w:r>
              <w:rPr>
                <w:rFonts w:hint="default" w:ascii="Arial" w:hAnsi="Arial" w:eastAsia="Verdana" w:cs="Arial"/>
                <w:bCs/>
                <w:iCs/>
                <w:color w:val="auto"/>
                <w:sz w:val="22"/>
                <w:szCs w:val="22"/>
                <w:lang w:val="pt-PT" w:eastAsia="en-US" w:bidi="ar-SA"/>
              </w:rPr>
              <w:t xml:space="preserve"> - 28.633-370</w:t>
            </w:r>
            <w:r>
              <w:rPr>
                <w:rFonts w:hint="default" w:ascii="Arial" w:hAnsi="Arial" w:eastAsia="Verdana" w:cs="Arial"/>
                <w:bCs/>
                <w:iCs/>
                <w:color w:val="auto"/>
                <w:sz w:val="22"/>
                <w:szCs w:val="22"/>
                <w:lang w:val="pt-BR" w:eastAsia="en-US" w:bidi="ar-SA"/>
              </w:rPr>
              <w:t xml:space="preserve"> </w:t>
            </w:r>
          </w:p>
        </w:tc>
      </w:tr>
      <w:tr w14:paraId="0F43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Borders>
              <w:left w:val="nil"/>
              <w:right w:val="nil"/>
            </w:tcBorders>
            <w:vAlign w:val="center"/>
          </w:tcPr>
          <w:p w14:paraId="1C13F7D2">
            <w:pPr>
              <w:pStyle w:val="19"/>
              <w:overflowPunct w:val="0"/>
              <w:ind w:left="0"/>
              <w:jc w:val="both"/>
              <w:rPr>
                <w:rFonts w:hint="default"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PT" w:eastAsia="en-US" w:bidi="ar-SA"/>
              </w:rPr>
              <w:t>Horário de entrega:</w:t>
            </w:r>
          </w:p>
        </w:tc>
        <w:tc>
          <w:tcPr>
            <w:tcW w:w="6324" w:type="dxa"/>
            <w:tcBorders>
              <w:left w:val="nil"/>
              <w:right w:val="nil"/>
            </w:tcBorders>
            <w:vAlign w:val="center"/>
          </w:tcPr>
          <w:p w14:paraId="1B94B657">
            <w:pPr>
              <w:pStyle w:val="19"/>
              <w:overflowPunct w:val="0"/>
              <w:ind w:left="0"/>
              <w:jc w:val="both"/>
              <w:rPr>
                <w:rFonts w:hint="default"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PT" w:eastAsia="en-US" w:bidi="ar-SA"/>
              </w:rPr>
              <w:t>Segunda a sexta-feira, das 09h às 1</w:t>
            </w:r>
            <w:r>
              <w:rPr>
                <w:rFonts w:hint="default" w:ascii="Arial" w:hAnsi="Arial" w:eastAsia="Verdana" w:cs="Arial"/>
                <w:bCs/>
                <w:iCs/>
                <w:color w:val="auto"/>
                <w:sz w:val="22"/>
                <w:szCs w:val="22"/>
                <w:lang w:val="pt-BR" w:eastAsia="en-US" w:bidi="ar-SA"/>
              </w:rPr>
              <w:t>5</w:t>
            </w:r>
            <w:r>
              <w:rPr>
                <w:rFonts w:hint="default" w:ascii="Arial" w:hAnsi="Arial" w:eastAsia="Verdana" w:cs="Arial"/>
                <w:bCs/>
                <w:iCs/>
                <w:color w:val="auto"/>
                <w:sz w:val="22"/>
                <w:szCs w:val="22"/>
                <w:lang w:val="pt-PT" w:eastAsia="en-US" w:bidi="ar-SA"/>
              </w:rPr>
              <w:t>h.</w:t>
            </w:r>
          </w:p>
        </w:tc>
      </w:tr>
    </w:tbl>
    <w:p w14:paraId="2493C045">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3.1.4 </w:t>
      </w:r>
      <w:r>
        <w:rPr>
          <w:rFonts w:hint="default" w:ascii="Arial" w:hAnsi="Arial" w:eastAsia="Verdana" w:cs="Arial"/>
          <w:bCs/>
          <w:iCs/>
          <w:color w:val="auto"/>
          <w:sz w:val="22"/>
          <w:szCs w:val="22"/>
          <w:lang w:val="pt-BR" w:eastAsia="en-US" w:bidi="ar-SA"/>
        </w:rPr>
        <w:t>Os bens serão recebidos provisoriamente, de forma sumária, no prazo de 3 (três) dias, pelo responsável pelo acompanhamento e fiscalização do contrato, para efeito de posterior verificação de sua conformidade com as especificações constantes neste Termo de Referência e na proposta.</w:t>
      </w:r>
    </w:p>
    <w:p w14:paraId="416F5880">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3.1.5 </w:t>
      </w:r>
      <w:r>
        <w:rPr>
          <w:rFonts w:hint="default" w:ascii="Arial" w:hAnsi="Arial" w:eastAsia="Verdana" w:cs="Arial"/>
          <w:bCs/>
          <w:iCs/>
          <w:color w:val="auto"/>
          <w:sz w:val="22"/>
          <w:szCs w:val="22"/>
          <w:lang w:val="pt-BR" w:eastAsia="en-US" w:bidi="ar-SA"/>
        </w:rPr>
        <w:t>Os bens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33BFF968">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3.1.6 </w:t>
      </w:r>
      <w:r>
        <w:rPr>
          <w:rFonts w:hint="default" w:ascii="Arial" w:hAnsi="Arial" w:eastAsia="Verdana" w:cs="Arial"/>
          <w:bCs/>
          <w:iCs/>
          <w:color w:val="auto"/>
          <w:sz w:val="22"/>
          <w:szCs w:val="22"/>
          <w:lang w:val="pt-BR" w:eastAsia="en-US" w:bidi="ar-SA"/>
        </w:rPr>
        <w:t>Os bens serão recebidos definitivamente no prazo de 3 (três) dias, contados do recebimento provisório, após a verificação da qualidade e consequente aceitação mediante termo detalhado.</w:t>
      </w:r>
    </w:p>
    <w:p w14:paraId="544C3398">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3.1.7 </w:t>
      </w:r>
      <w:r>
        <w:rPr>
          <w:rFonts w:hint="default" w:ascii="Arial" w:hAnsi="Arial" w:eastAsia="Verdana" w:cs="Arial"/>
          <w:bCs/>
          <w:iCs/>
          <w:color w:val="auto"/>
          <w:sz w:val="22"/>
          <w:szCs w:val="22"/>
          <w:lang w:val="pt-BR" w:eastAsia="en-US" w:bidi="ar-SA"/>
        </w:rPr>
        <w:t>Na hipótese de a verificação a que de refere o subitem anterior não ser procedida dentro do prazo fixado, reputar-se-á como realizada, consumando-se o recebimento definitivo no dia do esgotamento do prezo.</w:t>
      </w:r>
    </w:p>
    <w:p w14:paraId="56869B63">
      <w:pPr>
        <w:pStyle w:val="19"/>
        <w:numPr>
          <w:ilvl w:val="0"/>
          <w:numId w:val="0"/>
        </w:numPr>
        <w:pBdr>
          <w:top w:val="none" w:color="00000A" w:sz="0" w:space="0"/>
          <w:left w:val="none" w:color="00000A" w:sz="0" w:space="0"/>
          <w:bottom w:val="none" w:color="00000A" w:sz="0" w:space="0"/>
          <w:right w:val="none" w:color="00000A" w:sz="0" w:space="0"/>
          <w:between w:val="none" w:color="auto" w:sz="0" w:space="0"/>
        </w:pBdr>
        <w:shd w:val="clear"/>
        <w:tabs>
          <w:tab w:val="left" w:pos="567"/>
        </w:tabs>
        <w:overflowPunct/>
        <w:spacing w:line="360" w:lineRule="auto"/>
        <w:jc w:val="both"/>
        <w:rPr>
          <w:rFonts w:hint="default" w:ascii="Arial" w:hAnsi="Arial" w:eastAsia="Verdana" w:cs="Arial"/>
          <w:bCs/>
          <w:iCs/>
          <w:color w:val="auto"/>
          <w:sz w:val="22"/>
          <w:szCs w:val="22"/>
          <w:lang w:val="pt-BR" w:eastAsia="en-US" w:bidi="ar-SA"/>
        </w:rPr>
      </w:pPr>
      <w:r>
        <w:rPr>
          <w:rFonts w:hint="default" w:ascii="Arial" w:hAnsi="Arial" w:cs="Arial"/>
          <w:bCs/>
          <w:iCs/>
          <w:color w:val="auto"/>
          <w:sz w:val="22"/>
          <w:szCs w:val="22"/>
          <w:lang w:val="pt-BR" w:eastAsia="en-US" w:bidi="ar-SA"/>
        </w:rPr>
        <w:t xml:space="preserve">3.1.8 </w:t>
      </w:r>
      <w:r>
        <w:rPr>
          <w:rFonts w:hint="default" w:ascii="Arial" w:hAnsi="Arial" w:eastAsia="Verdana" w:cs="Arial"/>
          <w:bCs/>
          <w:iCs/>
          <w:color w:val="auto"/>
          <w:sz w:val="22"/>
          <w:szCs w:val="22"/>
          <w:lang w:val="pt-BR" w:eastAsia="en-US" w:bidi="ar-SA"/>
        </w:rPr>
        <w:t>O recebimento provisório ou definitivo não excluirá a responsabilidade civil pela solidez e pela segurança do serviço nem a responsabilidade ético-profissional pela perfeita execução do contrato.</w:t>
      </w:r>
    </w:p>
    <w:p w14:paraId="4B41D682">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hint="default" w:ascii="Arial" w:hAnsi="Arial" w:cs="Arial"/>
          <w:bCs/>
          <w:iCs/>
          <w:sz w:val="22"/>
          <w:szCs w:val="22"/>
          <w:u w:val="single"/>
          <w:lang w:val="pt-BR" w:eastAsia="en-US" w:bidi="ar-SA"/>
        </w:rPr>
      </w:pPr>
      <w:r>
        <w:rPr>
          <w:rFonts w:hint="default" w:ascii="Arial" w:hAnsi="Arial" w:eastAsia="Verdana" w:cs="Arial"/>
          <w:bCs/>
          <w:iCs/>
          <w:sz w:val="22"/>
          <w:szCs w:val="22"/>
          <w:u w:val="single"/>
          <w:lang w:val="pt-BR" w:eastAsia="en-US" w:bidi="ar-SA"/>
        </w:rPr>
        <w:t xml:space="preserve">3.2 </w:t>
      </w:r>
      <w:r>
        <w:rPr>
          <w:rFonts w:ascii="Arial" w:hAnsi="Arial" w:eastAsia="Verdana" w:cs="Arial"/>
          <w:bCs/>
          <w:iCs/>
          <w:sz w:val="22"/>
          <w:szCs w:val="22"/>
          <w:u w:val="single"/>
          <w:lang w:val="pt-PT" w:eastAsia="en-US" w:bidi="ar-SA"/>
        </w:rPr>
        <w:t>MODELO DE GESTÃO DO CONTRATO (art. 6º, XXIII, alínea “f”, da Lei nº 14.133/21)</w:t>
      </w:r>
      <w:r>
        <w:rPr>
          <w:rFonts w:hint="default" w:ascii="Arial" w:hAnsi="Arial" w:cs="Arial"/>
          <w:bCs/>
          <w:iCs/>
          <w:sz w:val="22"/>
          <w:szCs w:val="22"/>
          <w:u w:val="single"/>
          <w:lang w:val="pt-BR" w:eastAsia="en-US" w:bidi="ar-SA"/>
        </w:rPr>
        <w:t>:</w:t>
      </w:r>
    </w:p>
    <w:p w14:paraId="37B5E4F7">
      <w:pPr>
        <w:numPr>
          <w:ilvl w:val="0"/>
          <w:numId w:val="0"/>
        </w:numPr>
        <w:pBdr>
          <w:top w:val="none" w:color="auto" w:sz="0" w:space="0"/>
          <w:left w:val="none" w:color="auto" w:sz="0" w:space="0"/>
          <w:bottom w:val="none" w:color="auto" w:sz="0" w:space="0"/>
          <w:right w:val="none" w:color="auto" w:sz="0" w:space="0"/>
          <w:between w:val="none" w:color="auto" w:sz="0" w:space="0"/>
        </w:pBdr>
        <w:spacing w:line="276" w:lineRule="auto"/>
        <w:ind w:leftChars="0"/>
        <w:jc w:val="both"/>
        <w:rPr>
          <w:rFonts w:hint="default" w:ascii="Arial" w:hAnsi="Arial" w:eastAsia="Verdana" w:cs="Arial"/>
          <w:bCs/>
          <w:iCs/>
          <w:sz w:val="22"/>
          <w:szCs w:val="22"/>
          <w:lang w:val="pt-BR" w:eastAsia="en-US" w:bidi="ar-SA"/>
        </w:rPr>
      </w:pPr>
    </w:p>
    <w:p w14:paraId="5069645F">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3.2.1 </w:t>
      </w:r>
      <w:r>
        <w:rPr>
          <w:rFonts w:hint="default" w:ascii="Arial" w:hAnsi="Arial" w:eastAsia="Verdana" w:cs="Arial"/>
          <w:bCs/>
          <w:iCs/>
          <w:sz w:val="22"/>
          <w:szCs w:val="22"/>
          <w:lang w:val="pt-PT" w:eastAsia="en-US" w:bidi="ar-SA"/>
        </w:rPr>
        <w:t>O contrato deverá ser executado fielmente pelas partes, de acordo com as cláusulas avençadas e as normas da Lei nº 14.133, de 2021, e cada parte responderá pelas consequências de sua inexecução total ou parcia</w:t>
      </w:r>
      <w:r>
        <w:rPr>
          <w:rFonts w:hint="default" w:ascii="Arial" w:hAnsi="Arial" w:eastAsia="Verdana" w:cs="Arial"/>
          <w:bCs/>
          <w:iCs/>
          <w:sz w:val="22"/>
          <w:szCs w:val="22"/>
          <w:lang w:val="pt-BR" w:eastAsia="en-US" w:bidi="ar-SA"/>
        </w:rPr>
        <w:t>l.</w:t>
      </w:r>
      <w:bookmarkStart w:id="3" w:name="art115§5"/>
      <w:bookmarkEnd w:id="3"/>
      <w:bookmarkStart w:id="4" w:name="art115§1"/>
      <w:bookmarkEnd w:id="4"/>
    </w:p>
    <w:p w14:paraId="3A813600">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3.2.2 </w:t>
      </w:r>
      <w:r>
        <w:rPr>
          <w:rFonts w:hint="default" w:ascii="Arial" w:hAnsi="Arial" w:eastAsia="Verdana" w:cs="Arial"/>
          <w:bCs/>
          <w:iCs/>
          <w:sz w:val="22"/>
          <w:szCs w:val="22"/>
          <w:lang w:val="pt-BR" w:eastAsia="en-US" w:bidi="ar-SA"/>
        </w:rPr>
        <w:t xml:space="preserve">A execução </w:t>
      </w:r>
      <w:r>
        <w:rPr>
          <w:rFonts w:hint="default" w:ascii="Arial" w:hAnsi="Arial" w:eastAsia="Verdana" w:cs="Arial"/>
          <w:bCs/>
          <w:iCs/>
          <w:sz w:val="22"/>
          <w:szCs w:val="22"/>
          <w:lang w:val="pt-PT" w:eastAsia="en-US" w:bidi="ar-SA"/>
        </w:rPr>
        <w:t>do contrato deverá ser acompanhada e fiscalizada pelo(s) fiscal(is) do contrato, ou pelos respectivos substitutos</w:t>
      </w:r>
      <w:r>
        <w:rPr>
          <w:rFonts w:hint="default" w:ascii="Arial" w:hAnsi="Arial" w:eastAsia="Verdana" w:cs="Arial"/>
          <w:bCs/>
          <w:iCs/>
          <w:sz w:val="22"/>
          <w:szCs w:val="22"/>
          <w:lang w:val="pt-BR" w:eastAsia="en-US" w:bidi="ar-SA"/>
        </w:rPr>
        <w:t>.</w:t>
      </w:r>
    </w:p>
    <w:p w14:paraId="5781F0E3">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3.2.3 </w:t>
      </w:r>
      <w:r>
        <w:rPr>
          <w:rFonts w:hint="default" w:ascii="Arial" w:hAnsi="Arial" w:eastAsia="Verdana" w:cs="Arial"/>
          <w:bCs/>
          <w:iCs/>
          <w:sz w:val="22"/>
          <w:szCs w:val="22"/>
          <w:lang w:val="pt-BR" w:eastAsia="en-US" w:bidi="ar-SA"/>
        </w:rPr>
        <w:t xml:space="preserve">O fiscal do contrato </w:t>
      </w:r>
      <w:r>
        <w:rPr>
          <w:rFonts w:hint="default" w:ascii="Arial" w:hAnsi="Arial" w:eastAsia="Verdana" w:cs="Arial"/>
          <w:bCs/>
          <w:iCs/>
          <w:sz w:val="22"/>
          <w:szCs w:val="22"/>
          <w:lang w:val="pt-PT" w:eastAsia="en-US" w:bidi="ar-SA"/>
        </w:rPr>
        <w:t>anotará em registro próprio todas as ocorrências relacionadas à execução do contrato, determinando o que for necessário para a regularização das faltas ou dos defeitos observados</w:t>
      </w:r>
      <w:r>
        <w:rPr>
          <w:rFonts w:hint="default" w:ascii="Arial" w:hAnsi="Arial" w:eastAsia="Verdana" w:cs="Arial"/>
          <w:bCs/>
          <w:iCs/>
          <w:sz w:val="22"/>
          <w:szCs w:val="22"/>
          <w:lang w:val="pt-BR" w:eastAsia="en-US" w:bidi="ar-SA"/>
        </w:rPr>
        <w:t>.</w:t>
      </w:r>
    </w:p>
    <w:p w14:paraId="7081DB9D">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3.2.4 </w:t>
      </w:r>
      <w:r>
        <w:rPr>
          <w:rFonts w:hint="default" w:ascii="Arial" w:hAnsi="Arial" w:eastAsia="Verdana" w:cs="Arial"/>
          <w:bCs/>
          <w:iCs/>
          <w:sz w:val="22"/>
          <w:szCs w:val="22"/>
          <w:lang w:val="pt-BR" w:eastAsia="en-US" w:bidi="ar-SA"/>
        </w:rPr>
        <w:t xml:space="preserve">O fiscal </w:t>
      </w:r>
      <w:r>
        <w:rPr>
          <w:rFonts w:hint="default" w:ascii="Arial" w:hAnsi="Arial" w:eastAsia="Verdana" w:cs="Arial"/>
          <w:bCs/>
          <w:iCs/>
          <w:sz w:val="22"/>
          <w:szCs w:val="22"/>
          <w:lang w:val="pt-PT" w:eastAsia="en-US" w:bidi="ar-SA"/>
        </w:rPr>
        <w:t>do contrato informará a seus superiores, em tempo hábil para a adoção das medidas convenientes, a situação que demandar decisão ou providência que ultrapasse sua competência</w:t>
      </w:r>
      <w:r>
        <w:rPr>
          <w:rFonts w:hint="default" w:ascii="Arial" w:hAnsi="Arial" w:eastAsia="Verdana" w:cs="Arial"/>
          <w:bCs/>
          <w:iCs/>
          <w:sz w:val="22"/>
          <w:szCs w:val="22"/>
          <w:lang w:val="pt-BR" w:eastAsia="en-US" w:bidi="ar-SA"/>
        </w:rPr>
        <w:t>.</w:t>
      </w:r>
    </w:p>
    <w:p w14:paraId="7C0C90E2">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eastAsia="Verdana" w:cs="Arial"/>
          <w:bCs/>
          <w:iCs/>
          <w:sz w:val="22"/>
          <w:szCs w:val="22"/>
          <w:lang w:val="pt-BR" w:eastAsia="en-US" w:bidi="ar-SA"/>
        </w:rPr>
        <w:t xml:space="preserve">3.2.5 </w:t>
      </w:r>
      <w:r>
        <w:rPr>
          <w:rFonts w:hint="default" w:ascii="Arial" w:hAnsi="Arial" w:eastAsia="Verdana" w:cs="Arial"/>
          <w:bCs/>
          <w:iCs/>
          <w:sz w:val="22"/>
          <w:szCs w:val="22"/>
          <w:lang w:val="pt-BR" w:eastAsia="en-US" w:bidi="ar-SA"/>
        </w:rPr>
        <w:t xml:space="preserve">O contratado será </w:t>
      </w:r>
      <w:r>
        <w:rPr>
          <w:rFonts w:hint="default" w:ascii="Arial" w:hAnsi="Arial" w:eastAsia="Verdana" w:cs="Arial"/>
          <w:bCs/>
          <w:iCs/>
          <w:sz w:val="22"/>
          <w:szCs w:val="22"/>
          <w:lang w:val="pt-PT" w:eastAsia="en-US" w:bidi="ar-SA"/>
        </w:rPr>
        <w:t>obrigado a reparar, corrigir, remover, reconstruir ou substituir, a suas expensas, no total ou em parte, o objeto do contrato em que se verificarem vícios, defeitos ou incorreções resultantes de sua execução ou de materiais nela empregados</w:t>
      </w:r>
      <w:r>
        <w:rPr>
          <w:rFonts w:hint="default" w:ascii="Arial" w:hAnsi="Arial" w:eastAsia="Verdana" w:cs="Arial"/>
          <w:bCs/>
          <w:iCs/>
          <w:sz w:val="22"/>
          <w:szCs w:val="22"/>
          <w:lang w:val="pt-BR" w:eastAsia="en-US" w:bidi="ar-SA"/>
        </w:rPr>
        <w:t>.</w:t>
      </w:r>
      <w:bookmarkStart w:id="5" w:name="art117§2"/>
      <w:bookmarkEnd w:id="5"/>
      <w:bookmarkStart w:id="6" w:name="art116"/>
      <w:bookmarkEnd w:id="6"/>
      <w:bookmarkStart w:id="7" w:name="art120"/>
      <w:bookmarkEnd w:id="7"/>
    </w:p>
    <w:p w14:paraId="4A3C3F55">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3.2.6 </w:t>
      </w:r>
      <w:r>
        <w:rPr>
          <w:rFonts w:hint="default" w:ascii="Arial" w:hAnsi="Arial" w:eastAsia="Verdana" w:cs="Arial"/>
          <w:bCs/>
          <w:iCs/>
          <w:sz w:val="22"/>
          <w:szCs w:val="22"/>
          <w:lang w:val="pt-PT" w:eastAsia="en-US" w:bidi="ar-SA"/>
        </w:rPr>
        <w:t>O contratado será responsável pelos danos causados diretamente à Administração ou a terceiros em razão da execução do contrato, e não excluirá nem reduzirá essa responsabilidade a fiscalização ou o acompanhamento pelo contratante</w:t>
      </w:r>
      <w:r>
        <w:rPr>
          <w:rFonts w:hint="default" w:ascii="Arial" w:hAnsi="Arial" w:eastAsia="Verdana" w:cs="Arial"/>
          <w:bCs/>
          <w:iCs/>
          <w:sz w:val="22"/>
          <w:szCs w:val="22"/>
          <w:lang w:val="pt-BR" w:eastAsia="en-US" w:bidi="ar-SA"/>
        </w:rPr>
        <w:t>.</w:t>
      </w:r>
    </w:p>
    <w:p w14:paraId="238DCE3C">
      <w:pPr>
        <w:pStyle w:val="46"/>
        <w:numPr>
          <w:ilvl w:val="0"/>
          <w:numId w:val="0"/>
        </w:numPr>
        <w:spacing w:before="0" w:after="0" w:line="360" w:lineRule="auto"/>
        <w:rPr>
          <w:rFonts w:hint="default" w:ascii="Arial" w:hAnsi="Arial" w:eastAsia="Verdana" w:cs="Arial"/>
          <w:bCs/>
          <w:iCs/>
          <w:sz w:val="22"/>
          <w:szCs w:val="22"/>
          <w:lang w:val="pt-PT" w:eastAsia="en-US" w:bidi="ar-SA"/>
        </w:rPr>
      </w:pPr>
      <w:bookmarkStart w:id="8" w:name="art121"/>
      <w:bookmarkEnd w:id="8"/>
      <w:r>
        <w:rPr>
          <w:rFonts w:hint="default" w:eastAsia="Verdana" w:cs="Arial"/>
          <w:bCs/>
          <w:iCs/>
          <w:sz w:val="22"/>
          <w:szCs w:val="22"/>
          <w:lang w:val="pt-BR" w:eastAsia="en-US" w:bidi="ar-SA"/>
        </w:rPr>
        <w:t xml:space="preserve">3.2.7 </w:t>
      </w:r>
      <w:r>
        <w:rPr>
          <w:rFonts w:hint="default" w:ascii="Arial" w:hAnsi="Arial" w:eastAsia="Verdana" w:cs="Arial"/>
          <w:bCs/>
          <w:iCs/>
          <w:sz w:val="22"/>
          <w:szCs w:val="22"/>
          <w:lang w:val="pt-PT" w:eastAsia="en-US" w:bidi="ar-SA"/>
        </w:rPr>
        <w:t>Somente o contratado será responsável pelos encargos trabalhistas, previdenciários, fiscais e comerciais resultantes da execução do contrato.</w:t>
      </w:r>
      <w:bookmarkStart w:id="9" w:name="art121§1"/>
      <w:bookmarkEnd w:id="9"/>
    </w:p>
    <w:p w14:paraId="670F8EA6">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3.2.8 </w:t>
      </w:r>
      <w:r>
        <w:rPr>
          <w:rFonts w:hint="default" w:ascii="Arial" w:hAnsi="Arial" w:eastAsia="Verdana" w:cs="Arial"/>
          <w:bCs/>
          <w:iCs/>
          <w:sz w:val="22"/>
          <w:szCs w:val="22"/>
          <w:lang w:val="pt-PT" w:eastAsia="en-US" w:bidi="ar-SA"/>
        </w:rPr>
        <w:t>A inadimplência do contratado em relação aos encargos trabalhistas, fiscais e comerciais não transferirá à Administração a responsabilidade pelo seu pagamento e não poderá onerar o objeto do contrato (Lei nº 14.133/2021, art. 121, §1º).</w:t>
      </w:r>
    </w:p>
    <w:p w14:paraId="057F8BF2">
      <w:pPr>
        <w:pStyle w:val="46"/>
        <w:numPr>
          <w:ilvl w:val="0"/>
          <w:numId w:val="0"/>
        </w:numPr>
        <w:spacing w:before="0" w:after="0" w:line="360" w:lineRule="auto"/>
        <w:rPr>
          <w:rFonts w:hint="default" w:ascii="Arial" w:hAnsi="Arial" w:eastAsia="Verdana" w:cs="Arial"/>
          <w:bCs/>
          <w:iCs/>
          <w:sz w:val="22"/>
          <w:szCs w:val="22"/>
          <w:lang w:val="pt-BR" w:eastAsia="en-US" w:bidi="ar-SA"/>
        </w:rPr>
      </w:pPr>
      <w:bookmarkStart w:id="10" w:name="art122"/>
      <w:bookmarkEnd w:id="10"/>
      <w:bookmarkStart w:id="11" w:name="art123"/>
      <w:bookmarkEnd w:id="11"/>
      <w:bookmarkStart w:id="12" w:name="art122§2"/>
      <w:bookmarkEnd w:id="12"/>
      <w:bookmarkStart w:id="13" w:name="art122§1"/>
      <w:bookmarkEnd w:id="13"/>
      <w:bookmarkStart w:id="14" w:name="art122§3"/>
      <w:bookmarkEnd w:id="14"/>
      <w:r>
        <w:rPr>
          <w:rFonts w:hint="default" w:eastAsia="Verdana" w:cs="Arial"/>
          <w:bCs/>
          <w:iCs/>
          <w:sz w:val="22"/>
          <w:szCs w:val="22"/>
          <w:lang w:val="pt-BR" w:eastAsia="en-US" w:bidi="ar-SA"/>
        </w:rPr>
        <w:t xml:space="preserve">3.2.9 </w:t>
      </w:r>
      <w:r>
        <w:rPr>
          <w:rFonts w:hint="default" w:ascii="Arial" w:hAnsi="Arial" w:eastAsia="Verdana" w:cs="Arial"/>
          <w:bCs/>
          <w:iCs/>
          <w:sz w:val="22"/>
          <w:szCs w:val="22"/>
          <w:lang w:val="pt-PT" w:eastAsia="en-US" w:bidi="ar-SA"/>
        </w:rPr>
        <w:t>As comunicações entre o órgão ou entidade e a contratada devem ser realizadas por escrito sempre que o ato exigir tal formalidade, admitindo-se, excepcionalmente, o uso de mensagem eletrônica para esse fim</w:t>
      </w:r>
      <w:r>
        <w:rPr>
          <w:rFonts w:hint="default" w:ascii="Arial" w:hAnsi="Arial" w:eastAsia="Verdana" w:cs="Arial"/>
          <w:bCs/>
          <w:iCs/>
          <w:sz w:val="22"/>
          <w:szCs w:val="22"/>
          <w:lang w:val="pt-BR" w:eastAsia="en-US" w:bidi="ar-SA"/>
        </w:rPr>
        <w:t>.</w:t>
      </w:r>
    </w:p>
    <w:p w14:paraId="3B8BA73D">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eastAsia="Verdana" w:cs="Arial"/>
          <w:bCs/>
          <w:iCs/>
          <w:sz w:val="22"/>
          <w:szCs w:val="22"/>
          <w:lang w:val="pt-BR" w:eastAsia="en-US" w:bidi="ar-SA"/>
        </w:rPr>
        <w:t xml:space="preserve">3.2.10 </w:t>
      </w:r>
      <w:r>
        <w:rPr>
          <w:rFonts w:hint="default" w:ascii="Arial" w:hAnsi="Arial" w:eastAsia="Verdana" w:cs="Arial"/>
          <w:bCs/>
          <w:iCs/>
          <w:sz w:val="22"/>
          <w:szCs w:val="22"/>
          <w:lang w:val="pt-PT" w:eastAsia="en-US" w:bidi="ar-SA"/>
        </w:rPr>
        <w:t>O órgão ou entidade poderá convocar representante da empresa para adoção de providências que devam ser cumpridas de imediato</w:t>
      </w:r>
      <w:r>
        <w:rPr>
          <w:rFonts w:hint="default" w:ascii="Arial" w:hAnsi="Arial" w:eastAsia="Verdana" w:cs="Arial"/>
          <w:bCs/>
          <w:iCs/>
          <w:sz w:val="22"/>
          <w:szCs w:val="22"/>
          <w:lang w:val="pt-BR" w:eastAsia="en-US" w:bidi="ar-SA"/>
        </w:rPr>
        <w:t>.</w:t>
      </w:r>
    </w:p>
    <w:p w14:paraId="277E6937">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eastAsia="Verdana" w:cs="Arial"/>
          <w:bCs/>
          <w:iCs/>
          <w:sz w:val="22"/>
          <w:szCs w:val="22"/>
          <w:lang w:val="pt-BR" w:eastAsia="en-US" w:bidi="ar-SA"/>
        </w:rPr>
        <w:t xml:space="preserve">3.2.11 </w:t>
      </w:r>
      <w:r>
        <w:rPr>
          <w:rFonts w:hint="default" w:ascii="Arial" w:hAnsi="Arial" w:eastAsia="Verdana" w:cs="Arial"/>
          <w:bCs/>
          <w:iCs/>
          <w:sz w:val="22"/>
          <w:szCs w:val="22"/>
          <w:lang w:val="pt-BR" w:eastAsia="en-US" w:bidi="ar-SA"/>
        </w:rPr>
        <w:t xml:space="preserve">Serão </w:t>
      </w:r>
      <w:r>
        <w:rPr>
          <w:rFonts w:hint="default" w:ascii="Arial" w:hAnsi="Arial" w:eastAsia="Verdana" w:cs="Arial"/>
          <w:bCs/>
          <w:iCs/>
          <w:sz w:val="22"/>
          <w:szCs w:val="22"/>
          <w:lang w:val="pt-PT" w:eastAsia="en-US" w:bidi="ar-SA"/>
        </w:rPr>
        <w:t>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4C599373">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eastAsia="Verdana" w:cs="Arial"/>
          <w:bCs/>
          <w:iCs/>
          <w:sz w:val="22"/>
          <w:szCs w:val="22"/>
          <w:lang w:val="pt-BR" w:eastAsia="en-US" w:bidi="ar-SA"/>
        </w:rPr>
        <w:t xml:space="preserve">3.2.12 </w:t>
      </w:r>
      <w:r>
        <w:rPr>
          <w:rFonts w:hint="default" w:ascii="Arial" w:hAnsi="Arial" w:eastAsia="Verdana" w:cs="Arial"/>
          <w:bCs/>
          <w:iCs/>
          <w:sz w:val="22"/>
          <w:szCs w:val="22"/>
          <w:lang w:val="pt-BR" w:eastAsia="en-US" w:bidi="ar-SA"/>
        </w:rPr>
        <w:t>O acompanhamento, a gestão</w:t>
      </w:r>
      <w:r>
        <w:rPr>
          <w:rFonts w:hint="default" w:ascii="Arial" w:hAnsi="Arial" w:eastAsia="Verdana" w:cs="Arial"/>
          <w:bCs/>
          <w:iCs/>
          <w:sz w:val="22"/>
          <w:szCs w:val="22"/>
          <w:lang w:val="pt-PT" w:eastAsia="en-US" w:bidi="ar-SA"/>
        </w:rPr>
        <w:t xml:space="preserve"> e a fiscalização da contratação serão exercidos por representantes da Contratante, aos quais competirá dirimir as dúvidas que surgirem no curso da execução do contrato, e de tudo dar ciência à Administração, na forma do</w:t>
      </w:r>
      <w:r>
        <w:rPr>
          <w:rFonts w:hint="default" w:ascii="Arial" w:hAnsi="Arial" w:eastAsia="Verdana" w:cs="Arial"/>
          <w:bCs/>
          <w:iCs/>
          <w:sz w:val="22"/>
          <w:szCs w:val="22"/>
          <w:lang w:val="pt-BR" w:eastAsia="en-US" w:bidi="ar-SA"/>
        </w:rPr>
        <w:t xml:space="preserve"> disposto no capítulo VI do título III da Lei Federal nº14.133/21.</w:t>
      </w:r>
    </w:p>
    <w:p w14:paraId="19FE7B3B">
      <w:pPr>
        <w:pStyle w:val="46"/>
        <w:numPr>
          <w:ilvl w:val="0"/>
          <w:numId w:val="0"/>
        </w:numPr>
        <w:spacing w:before="0" w:after="0" w:line="360" w:lineRule="auto"/>
        <w:rPr>
          <w:rFonts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3.2.13 </w:t>
      </w:r>
      <w:r>
        <w:rPr>
          <w:rFonts w:hint="default" w:ascii="Arial" w:hAnsi="Arial" w:eastAsia="Verdana" w:cs="Arial"/>
          <w:bCs/>
          <w:iCs/>
          <w:sz w:val="22"/>
          <w:szCs w:val="22"/>
          <w:lang w:val="pt-BR" w:eastAsia="en-US" w:bidi="ar-SA"/>
        </w:rPr>
        <w:t>Para</w:t>
      </w:r>
      <w:r>
        <w:rPr>
          <w:rFonts w:ascii="Arial" w:hAnsi="Arial" w:eastAsia="Verdana" w:cs="Arial"/>
          <w:bCs/>
          <w:iCs/>
          <w:sz w:val="22"/>
          <w:szCs w:val="22"/>
          <w:lang w:val="pt-PT" w:eastAsia="en-US" w:bidi="ar-SA"/>
        </w:rPr>
        <w:t xml:space="preserve"> o acompanhamento</w:t>
      </w:r>
      <w:r>
        <w:rPr>
          <w:rFonts w:hint="default" w:ascii="Arial" w:hAnsi="Arial" w:eastAsia="Verdana" w:cs="Arial"/>
          <w:bCs/>
          <w:iCs/>
          <w:sz w:val="22"/>
          <w:szCs w:val="22"/>
          <w:lang w:val="pt-BR" w:eastAsia="en-US" w:bidi="ar-SA"/>
        </w:rPr>
        <w:t>, gestão</w:t>
      </w:r>
      <w:r>
        <w:rPr>
          <w:rFonts w:ascii="Arial" w:hAnsi="Arial" w:eastAsia="Verdana" w:cs="Arial"/>
          <w:bCs/>
          <w:iCs/>
          <w:sz w:val="22"/>
          <w:szCs w:val="22"/>
          <w:lang w:val="pt-PT" w:eastAsia="en-US" w:bidi="ar-SA"/>
        </w:rPr>
        <w:t xml:space="preserve"> e fiscalização da execução do presente contrato, </w:t>
      </w:r>
      <w:r>
        <w:rPr>
          <w:rFonts w:hint="default" w:ascii="Arial" w:hAnsi="Arial" w:eastAsia="Verdana" w:cs="Arial"/>
          <w:bCs/>
          <w:iCs/>
          <w:sz w:val="22"/>
          <w:szCs w:val="22"/>
          <w:lang w:val="pt-BR" w:eastAsia="en-US" w:bidi="ar-SA"/>
        </w:rPr>
        <w:t>serão designados em momento posterior, antes da execução do objeto, agentes públicos gestor/ gestor substituto e fiscal/fiscal substituto;</w:t>
      </w:r>
    </w:p>
    <w:p w14:paraId="7543A985">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eastAsia="Verdana" w:cs="Arial"/>
          <w:bCs/>
          <w:iCs/>
          <w:sz w:val="22"/>
          <w:szCs w:val="22"/>
          <w:lang w:val="pt-BR" w:eastAsia="en-US" w:bidi="ar-SA"/>
        </w:rPr>
        <w:t xml:space="preserve">3.2.14 </w:t>
      </w:r>
      <w:r>
        <w:rPr>
          <w:rFonts w:hint="default" w:ascii="Arial" w:hAnsi="Arial" w:eastAsia="Verdana" w:cs="Arial"/>
          <w:bCs/>
          <w:iCs/>
          <w:sz w:val="22"/>
          <w:szCs w:val="22"/>
          <w:lang w:val="pt-BR" w:eastAsia="en-US" w:bidi="ar-SA"/>
        </w:rPr>
        <w:t xml:space="preserve">O(os) </w:t>
      </w:r>
      <w:r>
        <w:rPr>
          <w:rFonts w:hint="default" w:ascii="Arial" w:hAnsi="Arial" w:eastAsia="Verdana" w:cs="Arial"/>
          <w:bCs/>
          <w:iCs/>
          <w:sz w:val="22"/>
          <w:szCs w:val="22"/>
          <w:lang w:val="pt-PT" w:eastAsia="en-US" w:bidi="ar-SA"/>
        </w:rPr>
        <w:t>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10EACA0">
      <w:pPr>
        <w:pStyle w:val="46"/>
        <w:numPr>
          <w:ilvl w:val="0"/>
          <w:numId w:val="0"/>
        </w:numPr>
        <w:spacing w:before="0" w:after="0" w:line="360" w:lineRule="auto"/>
        <w:rPr>
          <w:rFonts w:hint="default" w:ascii="Arial" w:hAnsi="Arial" w:eastAsia="Verdana" w:cs="Arial"/>
          <w:bCs/>
          <w:iCs/>
          <w:sz w:val="22"/>
          <w:szCs w:val="22"/>
          <w:lang w:val="pt-PT" w:eastAsia="en-US" w:bidi="ar-SA"/>
        </w:rPr>
      </w:pPr>
      <w:r>
        <w:rPr>
          <w:rFonts w:hint="default" w:eastAsia="Verdana" w:cs="Arial"/>
          <w:bCs/>
          <w:iCs/>
          <w:sz w:val="22"/>
          <w:szCs w:val="22"/>
          <w:lang w:val="pt-BR" w:eastAsia="en-US" w:bidi="ar-SA"/>
        </w:rPr>
        <w:t xml:space="preserve">3.2.15 </w:t>
      </w:r>
      <w:r>
        <w:rPr>
          <w:rFonts w:hint="default" w:ascii="Arial" w:hAnsi="Arial" w:eastAsia="Verdana" w:cs="Arial"/>
          <w:bCs/>
          <w:iCs/>
          <w:sz w:val="22"/>
          <w:szCs w:val="22"/>
          <w:lang w:val="pt-BR" w:eastAsia="en-US" w:bidi="ar-SA"/>
        </w:rPr>
        <w:t xml:space="preserve">O(os) </w:t>
      </w:r>
      <w:r>
        <w:rPr>
          <w:rFonts w:hint="default" w:ascii="Arial" w:hAnsi="Arial" w:eastAsia="Verdana" w:cs="Arial"/>
          <w:bCs/>
          <w:iCs/>
          <w:sz w:val="22"/>
          <w:szCs w:val="22"/>
          <w:lang w:val="pt-PT" w:eastAsia="en-US" w:bidi="ar-SA"/>
        </w:rPr>
        <w:t>fiscal</w:t>
      </w:r>
      <w:r>
        <w:rPr>
          <w:rFonts w:hint="default" w:ascii="Arial" w:hAnsi="Arial" w:eastAsia="Verdana" w:cs="Arial"/>
          <w:bCs/>
          <w:iCs/>
          <w:sz w:val="22"/>
          <w:szCs w:val="22"/>
          <w:lang w:val="pt-BR" w:eastAsia="en-US" w:bidi="ar-SA"/>
        </w:rPr>
        <w:t>(is)</w:t>
      </w:r>
      <w:r>
        <w:rPr>
          <w:rFonts w:hint="default" w:ascii="Arial" w:hAnsi="Arial" w:eastAsia="Verdana" w:cs="Arial"/>
          <w:bCs/>
          <w:iCs/>
          <w:sz w:val="22"/>
          <w:szCs w:val="22"/>
          <w:lang w:val="pt-PT" w:eastAsia="en-US" w:bidi="ar-SA"/>
        </w:rPr>
        <w:t xml:space="preserve"> designado pela Contratante deverá ter a experiência necessária para o acompanhamento e controle da execução dos serviços e do contrato;</w:t>
      </w:r>
    </w:p>
    <w:p w14:paraId="781FFCB9">
      <w:pPr>
        <w:pStyle w:val="46"/>
        <w:numPr>
          <w:ilvl w:val="0"/>
          <w:numId w:val="0"/>
        </w:numPr>
        <w:spacing w:before="0" w:after="0" w:line="360" w:lineRule="auto"/>
        <w:rPr>
          <w:rFonts w:hint="default" w:ascii="Arial" w:hAnsi="Arial" w:eastAsia="Verdana" w:cs="Arial"/>
          <w:bCs/>
          <w:iCs/>
          <w:sz w:val="22"/>
          <w:szCs w:val="22"/>
          <w:lang w:val="pt-BR" w:eastAsia="en-US" w:bidi="ar-SA"/>
        </w:rPr>
      </w:pPr>
      <w:r>
        <w:rPr>
          <w:rFonts w:hint="default" w:ascii="Arial" w:hAnsi="Arial" w:eastAsia="Verdana" w:cs="Arial"/>
          <w:bCs/>
          <w:iCs/>
          <w:sz w:val="22"/>
          <w:szCs w:val="22"/>
          <w:lang w:val="pt-BR" w:eastAsia="en-US" w:bidi="ar-SA"/>
        </w:rPr>
        <w:t xml:space="preserve">32.16 A fiscalização </w:t>
      </w:r>
      <w:r>
        <w:rPr>
          <w:rFonts w:hint="default" w:ascii="Arial" w:hAnsi="Arial" w:eastAsia="Verdana" w:cs="Arial"/>
          <w:bCs/>
          <w:iCs/>
          <w:sz w:val="22"/>
          <w:szCs w:val="22"/>
          <w:lang w:val="pt-PT" w:eastAsia="en-US" w:bidi="ar-SA"/>
        </w:rPr>
        <w:t>não exclui nem reduz a responsabilidade da Contratada pelos danos causados à Administração ou a terceiros, decorrentes de sua culpa ou dolo na execução do contrato, não excluindo ou reduzindo essa responsabilidade a fiscalização ou o acompanhamento pelo órgão</w:t>
      </w:r>
      <w:r>
        <w:rPr>
          <w:rFonts w:hint="default" w:ascii="Arial" w:hAnsi="Arial" w:eastAsia="Verdana" w:cs="Arial"/>
          <w:bCs/>
          <w:iCs/>
          <w:sz w:val="22"/>
          <w:szCs w:val="22"/>
          <w:lang w:val="pt-BR" w:eastAsia="en-US" w:bidi="ar-SA"/>
        </w:rPr>
        <w:t>.</w:t>
      </w:r>
    </w:p>
    <w:p w14:paraId="5D2DD6D6">
      <w:pPr>
        <w:pStyle w:val="46"/>
        <w:numPr>
          <w:ilvl w:val="0"/>
          <w:numId w:val="0"/>
        </w:numPr>
        <w:spacing w:before="0" w:after="0" w:line="360" w:lineRule="auto"/>
        <w:rPr>
          <w:rFonts w:hint="default" w:ascii="Arial" w:hAnsi="Arial" w:eastAsia="Verdana" w:cs="Arial"/>
          <w:bCs/>
          <w:iCs/>
          <w:sz w:val="22"/>
          <w:szCs w:val="22"/>
          <w:lang w:val="pt-PT" w:eastAsia="en-US" w:bidi="ar-SA"/>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8A8554F">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6.1 </w:t>
      </w:r>
      <w:r>
        <w:rPr>
          <w:rFonts w:ascii="Arial" w:hAnsi="Arial" w:eastAsia="Verdana" w:cs="Arial"/>
          <w:bCs/>
          <w:iCs/>
          <w:color w:val="auto"/>
          <w:sz w:val="22"/>
          <w:szCs w:val="22"/>
          <w:lang w:val="pt-PT" w:eastAsia="en-US" w:bidi="ar-SA"/>
        </w:rPr>
        <w:t>A nota fiscal deverá ser emitida em nome de: MUNICÍPIO DE NOVA FRIBURGO, CNPJ: 28.606.630/0001-23, ENDEREÇO: AVENIDA ALBERTO BRAUNE, 225, CENTRO, NOVA FRIBURGO - RJ, CEP: 28613-001.</w:t>
      </w:r>
    </w:p>
    <w:p w14:paraId="712716F1">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6.2 </w:t>
      </w:r>
      <w:r>
        <w:rPr>
          <w:rFonts w:ascii="Arial" w:hAnsi="Arial" w:eastAsia="Verdana" w:cs="Arial"/>
          <w:bCs/>
          <w:iCs/>
          <w:color w:val="auto"/>
          <w:sz w:val="22"/>
          <w:szCs w:val="22"/>
          <w:lang w:val="pt-PT" w:eastAsia="en-US" w:bidi="ar-SA"/>
        </w:rPr>
        <w:t>DA LIQUIDAÇÃO DA DESPESA</w:t>
      </w:r>
    </w:p>
    <w:p w14:paraId="642EF075">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6.2.1 </w:t>
      </w:r>
      <w:r>
        <w:rPr>
          <w:rFonts w:ascii="Arial" w:hAnsi="Arial" w:eastAsia="Verdana" w:cs="Arial"/>
          <w:bCs/>
          <w:iCs/>
          <w:color w:val="auto"/>
          <w:sz w:val="22"/>
          <w:szCs w:val="22"/>
          <w:lang w:val="pt-PT" w:eastAsia="en-US" w:bidi="ar-SA"/>
        </w:rPr>
        <w:t xml:space="preserve">A liquidação será realizada pela Secretaria Municipal de </w:t>
      </w:r>
      <w:r>
        <w:rPr>
          <w:rFonts w:hint="default" w:ascii="Arial" w:hAnsi="Arial" w:eastAsia="Verdana" w:cs="Arial"/>
          <w:bCs/>
          <w:iCs/>
          <w:color w:val="auto"/>
          <w:sz w:val="22"/>
          <w:szCs w:val="22"/>
          <w:lang w:val="pt-BR" w:eastAsia="en-US" w:bidi="ar-SA"/>
        </w:rPr>
        <w:t>Fazenda</w:t>
      </w:r>
      <w:r>
        <w:rPr>
          <w:rFonts w:ascii="Arial" w:hAnsi="Arial" w:eastAsia="Verdana" w:cs="Arial"/>
          <w:bCs/>
          <w:iCs/>
          <w:color w:val="auto"/>
          <w:sz w:val="22"/>
          <w:szCs w:val="22"/>
          <w:lang w:val="pt-PT" w:eastAsia="en-US" w:bidi="ar-SA"/>
        </w:rPr>
        <w:t>, a partir do cumprimento das obrigações elencadas neste Termo de Referência, em obediência ao Decreto nº 2493, de 07 de novembro de 2023.</w:t>
      </w:r>
    </w:p>
    <w:p w14:paraId="02659107">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 </w:t>
      </w:r>
      <w:r>
        <w:rPr>
          <w:rFonts w:ascii="Arial" w:hAnsi="Arial" w:eastAsia="Verdana" w:cs="Arial"/>
          <w:bCs/>
          <w:iCs/>
          <w:color w:val="auto"/>
          <w:sz w:val="22"/>
          <w:szCs w:val="22"/>
          <w:lang w:val="pt-PT" w:eastAsia="en-US" w:bidi="ar-SA"/>
        </w:rPr>
        <w:t>DO PAGAMENTO DA DESPESA:</w:t>
      </w:r>
    </w:p>
    <w:p w14:paraId="2F503709">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6.3.1 </w:t>
      </w:r>
      <w:r>
        <w:rPr>
          <w:rFonts w:ascii="Arial" w:hAnsi="Arial" w:eastAsia="Verdana" w:cs="Arial"/>
          <w:bCs/>
          <w:iCs/>
          <w:color w:val="auto"/>
          <w:sz w:val="22"/>
          <w:szCs w:val="22"/>
          <w:lang w:val="pt-PT" w:eastAsia="en-US" w:bidi="ar-SA"/>
        </w:rPr>
        <w:t>O pagamento será efetuado conforme estabelecido no Decreto Municipal nº 2493, de 07 de novembro de 2023, desde que as certidões listadas abaixo estejam dentro da validade:</w:t>
      </w:r>
    </w:p>
    <w:p w14:paraId="78EA201B">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Negativa de Débitos Trabalhistas;</w:t>
      </w:r>
    </w:p>
    <w:p w14:paraId="2C37CB51">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Fazenda Federal – abrange as contribuições sociais;</w:t>
      </w:r>
    </w:p>
    <w:p w14:paraId="5FC31CDD">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FGTS;</w:t>
      </w:r>
    </w:p>
    <w:p w14:paraId="2FC0F2C7">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PGE – referente à Dívida Ativa Estadual;</w:t>
      </w:r>
    </w:p>
    <w:p w14:paraId="25D5F5BE">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Municipal – referente ao ISS e Dívida Ativa;</w:t>
      </w:r>
    </w:p>
    <w:p w14:paraId="0DBFB698">
      <w:pPr>
        <w:numPr>
          <w:ilvl w:val="0"/>
          <w:numId w:val="4"/>
        </w:numPr>
        <w:tabs>
          <w:tab w:val="left" w:pos="720"/>
          <w:tab w:val="clear" w:pos="1440"/>
        </w:tabs>
        <w:overflowPunct w:val="0"/>
        <w:spacing w:line="360" w:lineRule="auto"/>
        <w:ind w:left="220" w:leftChars="100" w:firstLine="0"/>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t>Estadual CND – referente ao ICMS.</w:t>
      </w:r>
    </w:p>
    <w:p w14:paraId="64D8CD2F">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6.3.2  </w:t>
      </w:r>
      <w:r>
        <w:rPr>
          <w:rFonts w:hint="default" w:ascii="Arial" w:hAnsi="Arial" w:eastAsia="Verdana" w:cs="Arial"/>
          <w:bCs/>
          <w:iCs/>
          <w:color w:val="auto"/>
          <w:sz w:val="22"/>
          <w:szCs w:val="22"/>
          <w:lang w:val="pt-BR" w:eastAsia="en-US" w:bidi="ar-SA"/>
        </w:rPr>
        <w:t>Deverá ser</w:t>
      </w:r>
      <w:r>
        <w:rPr>
          <w:rFonts w:hint="default" w:ascii="Arial" w:hAnsi="Arial" w:eastAsia="Verdana" w:cs="Arial"/>
          <w:bCs/>
          <w:iCs/>
          <w:color w:val="auto"/>
          <w:sz w:val="22"/>
          <w:szCs w:val="22"/>
          <w:rtl w:val="0"/>
          <w:lang w:val="pt-BR" w:eastAsia="en-US" w:bidi="ar-SA"/>
        </w:rPr>
        <w:t xml:space="preserve"> observado no momento da emissão do Documento Fiscal e na liquidação da despesa os dispositivos do Decreto Municipal nº2480/2023, o qual dispõe sobre a arre</w:t>
      </w:r>
      <w:r>
        <w:rPr>
          <w:rFonts w:hint="default" w:ascii="Arial" w:hAnsi="Arial" w:eastAsia="Verdana" w:cs="Arial"/>
          <w:bCs/>
          <w:iCs/>
          <w:color w:val="auto"/>
          <w:sz w:val="22"/>
          <w:szCs w:val="22"/>
          <w:rtl w:val="0"/>
          <w:lang w:val="pt-PT" w:eastAsia="en-US" w:bidi="ar-SA"/>
        </w:rPr>
        <w:t xml:space="preserve">cadação do Imposto de Renda </w:t>
      </w:r>
      <w:r>
        <w:rPr>
          <w:rFonts w:hint="default" w:ascii="Arial" w:hAnsi="Arial" w:eastAsia="Verdana" w:cs="Arial"/>
          <w:bCs/>
          <w:iCs/>
          <w:color w:val="auto"/>
          <w:sz w:val="22"/>
          <w:szCs w:val="22"/>
          <w:rtl w:val="0"/>
          <w:lang w:val="pt-BR" w:eastAsia="en-US" w:bidi="ar-SA"/>
        </w:rPr>
        <w:t>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14:paraId="0A6F01F8">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6.3.3 </w:t>
      </w:r>
      <w:r>
        <w:rPr>
          <w:rFonts w:ascii="Arial" w:hAnsi="Arial" w:eastAsia="Verdana" w:cs="Arial"/>
          <w:bCs/>
          <w:iCs/>
          <w:color w:val="auto"/>
          <w:sz w:val="22"/>
          <w:szCs w:val="22"/>
          <w:lang w:val="pt-PT" w:eastAsia="en-US" w:bidi="ar-SA"/>
        </w:rPr>
        <w:t>A Nota Fiscal deverá conter a identificação do Banco, número da Agência e da Conta Corrente, para que possibilite o CONTRATANTE efetuar o pagamento do valor devid</w:t>
      </w:r>
      <w:r>
        <w:rPr>
          <w:rFonts w:hint="default" w:ascii="Arial" w:hAnsi="Arial" w:eastAsia="Verdana" w:cs="Arial"/>
          <w:bCs/>
          <w:iCs/>
          <w:color w:val="auto"/>
          <w:sz w:val="22"/>
          <w:szCs w:val="22"/>
          <w:lang w:val="pt-BR" w:eastAsia="en-US" w:bidi="ar-SA"/>
        </w:rPr>
        <w:t>o.</w:t>
      </w:r>
    </w:p>
    <w:p w14:paraId="680A72F9">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6.3.4 </w:t>
      </w:r>
      <w:r>
        <w:rPr>
          <w:rFonts w:ascii="Arial" w:hAnsi="Arial" w:eastAsia="Verdana" w:cs="Arial"/>
          <w:bCs/>
          <w:iCs/>
          <w:color w:val="auto"/>
          <w:sz w:val="22"/>
          <w:szCs w:val="22"/>
          <w:lang w:val="pt-PT" w:eastAsia="en-US" w:bidi="ar-SA"/>
        </w:rPr>
        <w:t>Na ocorrência de rejeição da(s) Nota(s) Fiscal (s), motivada por erro ou incorreções, o prazo para pagamento estipulado acima passará a ser contado a partir da data de sua reapresentação.</w:t>
      </w:r>
    </w:p>
    <w:p w14:paraId="077D3AE9">
      <w:pPr>
        <w:numPr>
          <w:ilvl w:val="0"/>
          <w:numId w:val="0"/>
        </w:numPr>
        <w:shd w:val="clear" w:color="auto" w:fill="FFFFFF" w:themeFill="background1"/>
        <w:spacing w:line="360" w:lineRule="auto"/>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6.3.5 </w:t>
      </w:r>
      <w:r>
        <w:rPr>
          <w:rFonts w:ascii="Arial" w:hAnsi="Arial" w:eastAsia="Verdana" w:cs="Arial"/>
          <w:bCs/>
          <w:iCs/>
          <w:color w:val="auto"/>
          <w:sz w:val="22"/>
          <w:szCs w:val="22"/>
          <w:lang w:val="pt-PT" w:eastAsia="en-US" w:bidi="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0F41B5B">
      <w:pPr>
        <w:numPr>
          <w:ilvl w:val="0"/>
          <w:numId w:val="0"/>
        </w:numPr>
        <w:shd w:val="clear" w:color="auto" w:fill="FFFFFF" w:themeFill="background1"/>
        <w:spacing w:line="360" w:lineRule="auto"/>
        <w:jc w:val="both"/>
        <w:rPr>
          <w:rFonts w:hint="default" w:ascii="Arial" w:hAnsi="Arial" w:eastAsia="Verdana" w:cs="Arial"/>
          <w:bCs/>
          <w:iCs/>
          <w:color w:val="auto"/>
          <w:sz w:val="22"/>
          <w:szCs w:val="22"/>
          <w:lang w:val="pt-BR" w:eastAsia="en-US" w:bidi="ar-SA"/>
        </w:rPr>
      </w:pPr>
      <w:r>
        <w:rPr>
          <w:rFonts w:hint="default" w:ascii="Arial" w:hAnsi="Arial" w:cs="Arial"/>
          <w:bCs/>
          <w:iCs/>
          <w:color w:val="auto"/>
          <w:sz w:val="22"/>
          <w:szCs w:val="22"/>
          <w:lang w:val="pt-BR" w:eastAsia="zh-CN" w:bidi="ar-SA"/>
        </w:rPr>
        <w:t xml:space="preserve">6.3.6 </w:t>
      </w:r>
      <w:r>
        <w:rPr>
          <w:rFonts w:ascii="Arial" w:hAnsi="Arial" w:eastAsia="Verdana" w:cs="Arial"/>
          <w:bCs/>
          <w:iCs/>
          <w:color w:val="auto"/>
          <w:sz w:val="22"/>
          <w:szCs w:val="22"/>
          <w:lang w:val="en-US" w:eastAsia="zh-CN" w:bidi="ar-SA"/>
        </w:rPr>
        <w:t>O pagamento será efetuado pelo Município de Nova Friburgo mediante crédito em</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conta-corrente da contratada, até o 30º (trigésimo) dia corrido, a contar da atestação da</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Nota (s) Fiscal(ais) apresentada pela contratada, desde que cumpridas as formalidades</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legais e contratuais previstas, e de acordo com o Decreto Municipal nº. 2493, de 07 de</w:t>
      </w:r>
      <w:r>
        <w:rPr>
          <w:rFonts w:hint="default" w:ascii="Arial" w:hAnsi="Arial" w:eastAsia="Verdana" w:cs="Arial"/>
          <w:bCs/>
          <w:iCs/>
          <w:color w:val="auto"/>
          <w:sz w:val="22"/>
          <w:szCs w:val="22"/>
          <w:lang w:val="pt-BR" w:eastAsia="zh-CN" w:bidi="ar-SA"/>
        </w:rPr>
        <w:t xml:space="preserve"> </w:t>
      </w:r>
      <w:r>
        <w:rPr>
          <w:rFonts w:hint="default" w:ascii="Arial" w:hAnsi="Arial" w:eastAsia="Verdana" w:cs="Arial"/>
          <w:bCs/>
          <w:iCs/>
          <w:color w:val="auto"/>
          <w:sz w:val="22"/>
          <w:szCs w:val="22"/>
          <w:lang w:val="en-US" w:eastAsia="zh-CN" w:bidi="ar-SA"/>
        </w:rPr>
        <w:t>novembro de 2023</w:t>
      </w:r>
      <w:r>
        <w:rPr>
          <w:rFonts w:hint="default" w:ascii="Arial" w:hAnsi="Arial" w:cs="Arial"/>
          <w:bCs/>
          <w:iCs/>
          <w:color w:val="auto"/>
          <w:sz w:val="22"/>
          <w:szCs w:val="22"/>
          <w:lang w:val="pt-BR" w:eastAsia="zh-CN" w:bidi="ar-SA"/>
        </w:rPr>
        <w:t>.</w:t>
      </w:r>
    </w:p>
    <w:p w14:paraId="4DDDE654">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color w:val="auto"/>
          <w:lang w:val="pt-BR"/>
        </w:rPr>
      </w:pPr>
      <w:r>
        <w:rPr>
          <w:rFonts w:ascii="Arial" w:hAnsi="Arial" w:cs="Arial"/>
          <w:bCs/>
          <w:iCs/>
          <w:lang w:val="pt-BR"/>
        </w:rPr>
        <w:t xml:space="preserve"> A Administra</w:t>
      </w:r>
      <w:r>
        <w:rPr>
          <w:rFonts w:ascii="Arial" w:hAnsi="Arial" w:cs="Arial"/>
          <w:bCs/>
          <w:iCs/>
          <w:color w:val="auto"/>
          <w:lang w:val="pt-BR"/>
        </w:rPr>
        <w:t xml:space="preserve">ção terá o prazo de </w:t>
      </w:r>
      <w:r>
        <w:rPr>
          <w:rFonts w:ascii="Arial" w:hAnsi="Arial" w:cs="Arial"/>
          <w:bCs/>
          <w:iCs/>
          <w:color w:val="auto"/>
        </w:rPr>
        <w:t>1 (um) mês</w:t>
      </w:r>
      <w:r>
        <w:rPr>
          <w:rFonts w:ascii="Arial" w:hAnsi="Arial" w:cs="Arial"/>
          <w:bCs/>
          <w:iCs/>
          <w:color w:val="auto"/>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color w:val="auto"/>
          <w:lang w:val="pt-BR"/>
        </w:rPr>
      </w:pPr>
      <w:r>
        <w:rPr>
          <w:rFonts w:ascii="Arial" w:hAnsi="Arial" w:cs="Arial"/>
          <w:bCs/>
          <w:iCs/>
          <w:color w:val="auto"/>
          <w:lang w:val="pt-BR"/>
        </w:rPr>
        <w:t xml:space="preserve">Responder eventuais pedidos de reestabelecimento do equilíbrio econômico-financeiro feitos pelo contratado no prazo máximo de </w:t>
      </w:r>
      <w:r>
        <w:rPr>
          <w:rFonts w:ascii="Arial" w:hAnsi="Arial" w:cs="Arial"/>
          <w:bCs/>
          <w:iCs/>
          <w:color w:val="auto"/>
        </w:rPr>
        <w:t>1 (um) mês</w:t>
      </w:r>
      <w:r>
        <w:rPr>
          <w:rFonts w:ascii="Arial" w:hAnsi="Arial" w:cs="Arial"/>
          <w:bCs/>
          <w:iCs/>
          <w:color w:val="auto"/>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6"/>
        <w:numPr>
          <w:ilvl w:val="1"/>
          <w:numId w:val="3"/>
        </w:numPr>
        <w:rPr>
          <w:sz w:val="22"/>
          <w:szCs w:val="22"/>
        </w:rPr>
      </w:pPr>
      <w:r>
        <w:rPr>
          <w:sz w:val="22"/>
          <w:szCs w:val="22"/>
        </w:rPr>
        <w:t xml:space="preserve">Guardar sigilo sobre todas as informações obtidas em decorrência do cumprimento do contrato; </w:t>
      </w:r>
    </w:p>
    <w:p w14:paraId="65F8514E">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6"/>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6"/>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8"/>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8"/>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1B780832">
      <w:pPr>
        <w:pStyle w:val="43"/>
        <w:numPr>
          <w:ilvl w:val="0"/>
          <w:numId w:val="0"/>
        </w:numPr>
        <w:pBdr>
          <w:top w:val="none" w:color="auto" w:sz="0" w:space="0"/>
          <w:left w:val="none" w:color="auto" w:sz="0" w:space="0"/>
          <w:bottom w:val="none" w:color="auto" w:sz="0" w:space="0"/>
          <w:right w:val="none" w:color="auto" w:sz="0" w:space="0"/>
          <w:between w:val="none" w:color="auto" w:sz="0" w:space="0"/>
        </w:pBdr>
        <w:shd w:val="clear"/>
        <w:spacing w:before="0" w:after="0" w:line="360" w:lineRule="auto"/>
        <w:rPr>
          <w:rFonts w:hint="default" w:ascii="Arial" w:hAnsi="Arial" w:eastAsia="Verdana" w:cs="Arial"/>
          <w:b w:val="0"/>
          <w:color w:val="auto"/>
          <w:sz w:val="22"/>
          <w:szCs w:val="22"/>
          <w:lang w:val="pt-BR" w:eastAsia="en-US" w:bidi="ar-SA"/>
        </w:rPr>
      </w:pPr>
    </w:p>
    <w:p w14:paraId="16FD222A">
      <w:pPr>
        <w:pStyle w:val="43"/>
        <w:numPr>
          <w:ilvl w:val="0"/>
          <w:numId w:val="0"/>
        </w:numPr>
        <w:pBdr>
          <w:top w:val="none" w:color="auto" w:sz="0" w:space="0"/>
          <w:left w:val="none" w:color="auto" w:sz="0" w:space="0"/>
          <w:bottom w:val="none" w:color="auto" w:sz="0" w:space="0"/>
          <w:right w:val="none" w:color="auto" w:sz="0" w:space="0"/>
          <w:between w:val="none" w:color="auto" w:sz="0" w:space="0"/>
        </w:pBdr>
        <w:shd w:val="clear"/>
        <w:spacing w:before="0" w:after="0" w:line="360" w:lineRule="auto"/>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13.1 As despesas decorrentes da presente contratação correrão à conta de recursos específicos consignados no Orçamento do Município, na forma abaixo:</w:t>
      </w:r>
    </w:p>
    <w:tbl>
      <w:tblPr>
        <w:tblStyle w:val="17"/>
        <w:tblW w:w="8949" w:type="dxa"/>
        <w:tblInd w:w="2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2708"/>
        <w:gridCol w:w="5413"/>
      </w:tblGrid>
      <w:tr w14:paraId="4D3A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tcBorders>
              <w:left w:val="nil"/>
              <w:right w:val="nil"/>
            </w:tcBorders>
            <w:vAlign w:val="center"/>
          </w:tcPr>
          <w:p w14:paraId="313865F4">
            <w:pPr>
              <w:pStyle w:val="19"/>
              <w:overflowPunct w:val="0"/>
              <w:spacing w:line="240" w:lineRule="auto"/>
              <w:ind w:left="0"/>
              <w:jc w:val="both"/>
              <w:rPr>
                <w:rFonts w:hint="default" w:ascii="Arial" w:hAnsi="Arial" w:eastAsia="Verdana" w:cs="Arial"/>
                <w:b w:val="0"/>
                <w:color w:val="auto"/>
                <w:sz w:val="22"/>
                <w:szCs w:val="22"/>
                <w:lang w:val="pt-BR" w:eastAsia="en-US" w:bidi="ar-SA"/>
              </w:rPr>
            </w:pPr>
            <w:r>
              <w:rPr>
                <w:rFonts w:hint="default" w:ascii="Arial" w:hAnsi="Arial" w:eastAsia="Verdana" w:cs="Arial"/>
                <w:b w:val="0"/>
                <w:color w:val="auto"/>
                <w:sz w:val="22"/>
                <w:szCs w:val="22"/>
                <w:lang w:val="pt-BR" w:eastAsia="en-US" w:bidi="ar-SA"/>
              </w:rPr>
              <w:t>1</w:t>
            </w:r>
            <w:r>
              <w:rPr>
                <w:rFonts w:hint="default" w:ascii="Arial" w:hAnsi="Arial" w:cs="Arial"/>
                <w:b w:val="0"/>
                <w:color w:val="auto"/>
                <w:sz w:val="22"/>
                <w:szCs w:val="22"/>
                <w:lang w:val="pt-BR" w:eastAsia="en-US" w:bidi="ar-SA"/>
              </w:rPr>
              <w:t>3</w:t>
            </w:r>
            <w:r>
              <w:rPr>
                <w:rFonts w:hint="default" w:ascii="Arial" w:hAnsi="Arial" w:eastAsia="Verdana" w:cs="Arial"/>
                <w:b w:val="0"/>
                <w:color w:val="auto"/>
                <w:sz w:val="22"/>
                <w:szCs w:val="22"/>
                <w:lang w:val="pt-BR" w:eastAsia="en-US" w:bidi="ar-SA"/>
              </w:rPr>
              <w:t>.1.1</w:t>
            </w:r>
          </w:p>
        </w:tc>
        <w:tc>
          <w:tcPr>
            <w:tcW w:w="2708" w:type="dxa"/>
            <w:tcBorders>
              <w:left w:val="nil"/>
              <w:right w:val="nil"/>
            </w:tcBorders>
            <w:vAlign w:val="center"/>
          </w:tcPr>
          <w:p w14:paraId="1BDF025C">
            <w:pPr>
              <w:pStyle w:val="19"/>
              <w:overflowPunct w:val="0"/>
              <w:spacing w:line="240" w:lineRule="auto"/>
              <w:ind w:left="0"/>
              <w:jc w:val="both"/>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PT" w:eastAsia="en-US" w:bidi="ar-SA"/>
              </w:rPr>
              <w:t>Elemento de Despesa:</w:t>
            </w:r>
          </w:p>
        </w:tc>
        <w:tc>
          <w:tcPr>
            <w:tcW w:w="5413" w:type="dxa"/>
            <w:tcBorders>
              <w:left w:val="nil"/>
              <w:right w:val="nil"/>
            </w:tcBorders>
            <w:vAlign w:val="center"/>
          </w:tcPr>
          <w:p w14:paraId="24CA5DA3">
            <w:pPr>
              <w:pStyle w:val="13"/>
              <w:keepNext w:val="0"/>
              <w:keepLines w:val="0"/>
              <w:widowControl/>
              <w:suppressLineNumbers w:val="0"/>
              <w:spacing w:line="240" w:lineRule="auto"/>
              <w:jc w:val="center"/>
              <w:rPr>
                <w:rFonts w:hint="default" w:ascii="Arial" w:hAnsi="Arial" w:eastAsia="Verdana" w:cs="Arial"/>
                <w:b w:val="0"/>
                <w:color w:val="auto"/>
                <w:sz w:val="22"/>
                <w:szCs w:val="22"/>
                <w:lang w:val="pt-PT" w:eastAsia="en-US" w:bidi="ar-SA"/>
              </w:rPr>
            </w:pPr>
            <w:r>
              <w:rPr>
                <w:rFonts w:ascii="Arial" w:hAnsi="Arial" w:eastAsia="Verdana" w:cs="Arial"/>
                <w:b w:val="0"/>
                <w:color w:val="auto"/>
                <w:sz w:val="22"/>
                <w:szCs w:val="22"/>
                <w:lang w:val="pt-PT" w:eastAsia="en-US" w:bidi="ar-SA"/>
              </w:rPr>
              <w:t>33.90.30</w:t>
            </w:r>
            <w:r>
              <w:rPr>
                <w:rFonts w:hint="default" w:ascii="Arial" w:hAnsi="Arial" w:eastAsia="Verdana" w:cs="Arial"/>
                <w:b w:val="0"/>
                <w:color w:val="auto"/>
                <w:sz w:val="22"/>
                <w:szCs w:val="22"/>
                <w:lang w:val="pt-BR" w:eastAsia="en-US" w:bidi="ar-SA"/>
              </w:rPr>
              <w:t>.</w:t>
            </w:r>
            <w:r>
              <w:rPr>
                <w:rFonts w:ascii="Arial" w:hAnsi="Arial" w:eastAsia="Verdana" w:cs="Arial"/>
                <w:b w:val="0"/>
                <w:color w:val="auto"/>
                <w:sz w:val="22"/>
                <w:szCs w:val="22"/>
                <w:lang w:val="pt-PT" w:eastAsia="en-US" w:bidi="ar-SA"/>
              </w:rPr>
              <w:t>26 / 33.90.30</w:t>
            </w:r>
            <w:r>
              <w:rPr>
                <w:rFonts w:hint="default" w:ascii="Arial" w:hAnsi="Arial" w:eastAsia="Verdana" w:cs="Arial"/>
                <w:b w:val="0"/>
                <w:color w:val="auto"/>
                <w:sz w:val="22"/>
                <w:szCs w:val="22"/>
                <w:lang w:val="pt-BR" w:eastAsia="en-US" w:bidi="ar-SA"/>
              </w:rPr>
              <w:t>.</w:t>
            </w:r>
            <w:r>
              <w:rPr>
                <w:rFonts w:ascii="Arial" w:hAnsi="Arial" w:eastAsia="Verdana" w:cs="Arial"/>
                <w:b w:val="0"/>
                <w:color w:val="auto"/>
                <w:sz w:val="22"/>
                <w:szCs w:val="22"/>
                <w:lang w:val="pt-PT" w:eastAsia="en-US" w:bidi="ar-SA"/>
              </w:rPr>
              <w:t>27</w:t>
            </w:r>
          </w:p>
        </w:tc>
      </w:tr>
      <w:tr w14:paraId="74D8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left w:val="nil"/>
              <w:right w:val="nil"/>
            </w:tcBorders>
            <w:vAlign w:val="center"/>
          </w:tcPr>
          <w:p w14:paraId="1AAD7BE2">
            <w:pPr>
              <w:pStyle w:val="19"/>
              <w:overflowPunct w:val="0"/>
              <w:spacing w:line="240" w:lineRule="auto"/>
              <w:ind w:left="0"/>
              <w:jc w:val="both"/>
              <w:rPr>
                <w:rFonts w:hint="default" w:ascii="Arial" w:hAnsi="Arial" w:eastAsia="Verdana" w:cs="Arial"/>
                <w:b w:val="0"/>
                <w:color w:val="auto"/>
                <w:sz w:val="22"/>
                <w:szCs w:val="22"/>
                <w:lang w:val="pt-BR" w:eastAsia="en-US" w:bidi="ar-SA"/>
              </w:rPr>
            </w:pPr>
            <w:r>
              <w:rPr>
                <w:rFonts w:hint="default" w:ascii="Arial" w:hAnsi="Arial" w:eastAsia="Verdana" w:cs="Arial"/>
                <w:b w:val="0"/>
                <w:color w:val="auto"/>
                <w:sz w:val="22"/>
                <w:szCs w:val="22"/>
                <w:lang w:val="pt-BR" w:eastAsia="en-US" w:bidi="ar-SA"/>
              </w:rPr>
              <w:t>1</w:t>
            </w:r>
            <w:r>
              <w:rPr>
                <w:rFonts w:hint="default" w:ascii="Arial" w:hAnsi="Arial" w:cs="Arial"/>
                <w:b w:val="0"/>
                <w:color w:val="auto"/>
                <w:sz w:val="22"/>
                <w:szCs w:val="22"/>
                <w:lang w:val="pt-BR" w:eastAsia="en-US" w:bidi="ar-SA"/>
              </w:rPr>
              <w:t>3</w:t>
            </w:r>
            <w:r>
              <w:rPr>
                <w:rFonts w:hint="default" w:ascii="Arial" w:hAnsi="Arial" w:eastAsia="Verdana" w:cs="Arial"/>
                <w:b w:val="0"/>
                <w:color w:val="auto"/>
                <w:sz w:val="22"/>
                <w:szCs w:val="22"/>
                <w:lang w:val="pt-BR" w:eastAsia="en-US" w:bidi="ar-SA"/>
              </w:rPr>
              <w:t>.1.2</w:t>
            </w:r>
          </w:p>
        </w:tc>
        <w:tc>
          <w:tcPr>
            <w:tcW w:w="2708" w:type="dxa"/>
            <w:tcBorders>
              <w:left w:val="nil"/>
              <w:right w:val="nil"/>
            </w:tcBorders>
            <w:vAlign w:val="center"/>
          </w:tcPr>
          <w:p w14:paraId="00DACD9D">
            <w:pPr>
              <w:pStyle w:val="19"/>
              <w:overflowPunct w:val="0"/>
              <w:spacing w:line="240" w:lineRule="auto"/>
              <w:ind w:left="0"/>
              <w:jc w:val="both"/>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PT" w:eastAsia="en-US" w:bidi="ar-SA"/>
              </w:rPr>
              <w:t>Fonte de Recurso:</w:t>
            </w:r>
          </w:p>
        </w:tc>
        <w:tc>
          <w:tcPr>
            <w:tcW w:w="5413" w:type="dxa"/>
            <w:tcBorders>
              <w:left w:val="nil"/>
              <w:right w:val="nil"/>
            </w:tcBorders>
            <w:vAlign w:val="center"/>
          </w:tcPr>
          <w:p w14:paraId="205C3CB4">
            <w:pPr>
              <w:pStyle w:val="13"/>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center"/>
              <w:textAlignment w:val="auto"/>
              <w:rPr>
                <w:rFonts w:hint="default" w:ascii="Arial" w:hAnsi="Arial" w:eastAsia="Verdana" w:cs="Arial"/>
                <w:b w:val="0"/>
                <w:color w:val="auto"/>
                <w:sz w:val="22"/>
                <w:szCs w:val="22"/>
                <w:lang w:val="pt-BR" w:eastAsia="en-US" w:bidi="ar-SA"/>
              </w:rPr>
            </w:pPr>
            <w:r>
              <w:rPr>
                <w:rFonts w:hint="default" w:ascii="Arial" w:hAnsi="Arial" w:eastAsia="Verdana" w:cs="Arial"/>
                <w:b w:val="0"/>
                <w:color w:val="auto"/>
                <w:sz w:val="22"/>
                <w:szCs w:val="22"/>
                <w:lang w:val="pt-BR" w:eastAsia="en-US" w:bidi="ar-SA"/>
              </w:rPr>
              <w:t>172000000017</w:t>
            </w:r>
          </w:p>
        </w:tc>
      </w:tr>
      <w:tr w14:paraId="3C06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Borders>
              <w:left w:val="nil"/>
              <w:right w:val="nil"/>
            </w:tcBorders>
            <w:vAlign w:val="center"/>
          </w:tcPr>
          <w:p w14:paraId="69B00989">
            <w:pPr>
              <w:pStyle w:val="19"/>
              <w:overflowPunct w:val="0"/>
              <w:spacing w:line="240" w:lineRule="auto"/>
              <w:ind w:left="0"/>
              <w:jc w:val="both"/>
              <w:rPr>
                <w:rFonts w:hint="default" w:ascii="Arial" w:hAnsi="Arial" w:eastAsia="Verdana" w:cs="Arial"/>
                <w:b w:val="0"/>
                <w:color w:val="auto"/>
                <w:sz w:val="22"/>
                <w:szCs w:val="22"/>
                <w:lang w:val="pt-BR" w:eastAsia="en-US" w:bidi="ar-SA"/>
              </w:rPr>
            </w:pPr>
            <w:r>
              <w:rPr>
                <w:rFonts w:hint="default" w:ascii="Arial" w:hAnsi="Arial" w:eastAsia="Verdana" w:cs="Arial"/>
                <w:b w:val="0"/>
                <w:color w:val="auto"/>
                <w:sz w:val="22"/>
                <w:szCs w:val="22"/>
                <w:lang w:val="pt-BR" w:eastAsia="en-US" w:bidi="ar-SA"/>
              </w:rPr>
              <w:t>1</w:t>
            </w:r>
            <w:r>
              <w:rPr>
                <w:rFonts w:hint="default" w:ascii="Arial" w:hAnsi="Arial" w:cs="Arial"/>
                <w:b w:val="0"/>
                <w:color w:val="auto"/>
                <w:sz w:val="22"/>
                <w:szCs w:val="22"/>
                <w:lang w:val="pt-BR" w:eastAsia="en-US" w:bidi="ar-SA"/>
              </w:rPr>
              <w:t>3</w:t>
            </w:r>
            <w:r>
              <w:rPr>
                <w:rFonts w:hint="default" w:ascii="Arial" w:hAnsi="Arial" w:eastAsia="Verdana" w:cs="Arial"/>
                <w:b w:val="0"/>
                <w:color w:val="auto"/>
                <w:sz w:val="22"/>
                <w:szCs w:val="22"/>
                <w:lang w:val="pt-BR" w:eastAsia="en-US" w:bidi="ar-SA"/>
              </w:rPr>
              <w:t>.1.3</w:t>
            </w:r>
          </w:p>
        </w:tc>
        <w:tc>
          <w:tcPr>
            <w:tcW w:w="2708" w:type="dxa"/>
            <w:tcBorders>
              <w:left w:val="nil"/>
              <w:right w:val="nil"/>
            </w:tcBorders>
            <w:vAlign w:val="center"/>
          </w:tcPr>
          <w:p w14:paraId="478B1FA1">
            <w:pPr>
              <w:pStyle w:val="19"/>
              <w:overflowPunct w:val="0"/>
              <w:spacing w:line="240" w:lineRule="auto"/>
              <w:ind w:left="0"/>
              <w:jc w:val="both"/>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PT" w:eastAsia="en-US" w:bidi="ar-SA"/>
              </w:rPr>
              <w:t>Programa de Trabalho:</w:t>
            </w:r>
          </w:p>
        </w:tc>
        <w:tc>
          <w:tcPr>
            <w:tcW w:w="5413" w:type="dxa"/>
            <w:tcBorders>
              <w:left w:val="nil"/>
              <w:right w:val="nil"/>
            </w:tcBorders>
            <w:vAlign w:val="center"/>
          </w:tcPr>
          <w:p w14:paraId="71AB435B">
            <w:pPr>
              <w:pStyle w:val="13"/>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both"/>
              <w:textAlignment w:val="auto"/>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52</w:t>
            </w:r>
            <w:r>
              <w:rPr>
                <w:rFonts w:hint="default" w:ascii="Arial" w:hAnsi="Arial" w:eastAsia="Verdana" w:cs="Arial"/>
                <w:b w:val="0"/>
                <w:color w:val="auto"/>
                <w:sz w:val="22"/>
                <w:szCs w:val="22"/>
                <w:lang w:val="pt-PT" w:eastAsia="en-US" w:bidi="ar-SA"/>
              </w:rPr>
              <w:t>.003.04.122.0011.2.035 Manutenção da Frota Municipal De Veículos Leves.</w:t>
            </w:r>
          </w:p>
          <w:p w14:paraId="2C2593A5">
            <w:pPr>
              <w:pStyle w:val="13"/>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jc w:val="both"/>
              <w:textAlignment w:val="auto"/>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52</w:t>
            </w:r>
            <w:r>
              <w:rPr>
                <w:rFonts w:hint="default" w:ascii="Arial" w:hAnsi="Arial" w:eastAsia="Verdana" w:cs="Arial"/>
                <w:b w:val="0"/>
                <w:color w:val="auto"/>
                <w:sz w:val="22"/>
                <w:szCs w:val="22"/>
                <w:lang w:val="pt-PT" w:eastAsia="en-US" w:bidi="ar-SA"/>
              </w:rPr>
              <w:t>.003.04.122.0011.2.036 Manutenção da Frota Municipal De Veículos Pesados e Máquinas.</w:t>
            </w:r>
          </w:p>
        </w:tc>
      </w:tr>
    </w:tbl>
    <w:p w14:paraId="7B77EFD3">
      <w:pPr>
        <w:pStyle w:val="43"/>
        <w:numPr>
          <w:ilvl w:val="0"/>
          <w:numId w:val="0"/>
        </w:numPr>
        <w:pBdr>
          <w:top w:val="none" w:color="auto" w:sz="0" w:space="0"/>
          <w:left w:val="none" w:color="auto" w:sz="0" w:space="0"/>
          <w:bottom w:val="none" w:color="auto" w:sz="0" w:space="0"/>
          <w:right w:val="none" w:color="auto" w:sz="0" w:space="0"/>
          <w:between w:val="none" w:color="auto" w:sz="0" w:space="0"/>
        </w:pBdr>
        <w:shd w:val="clear"/>
        <w:spacing w:before="0" w:after="0" w:line="360" w:lineRule="auto"/>
        <w:ind w:left="200" w:leftChars="0"/>
        <w:rPr>
          <w:rFonts w:hint="default" w:ascii="Arial" w:hAnsi="Arial" w:eastAsia="Verdana" w:cs="Arial"/>
          <w:b w:val="0"/>
          <w:color w:val="auto"/>
          <w:sz w:val="22"/>
          <w:szCs w:val="22"/>
          <w:lang w:val="pt-PT" w:eastAsia="en-US" w:bidi="ar-SA"/>
        </w:rPr>
      </w:pPr>
    </w:p>
    <w:p w14:paraId="160A1BE8">
      <w:pPr>
        <w:pStyle w:val="43"/>
        <w:numPr>
          <w:ilvl w:val="0"/>
          <w:numId w:val="0"/>
        </w:numPr>
        <w:pBdr>
          <w:top w:val="none" w:color="auto" w:sz="0" w:space="0"/>
          <w:left w:val="none" w:color="auto" w:sz="0" w:space="0"/>
          <w:bottom w:val="none" w:color="auto" w:sz="0" w:space="0"/>
          <w:right w:val="none" w:color="auto" w:sz="0" w:space="0"/>
          <w:between w:val="none" w:color="auto" w:sz="0" w:space="0"/>
        </w:pBdr>
        <w:shd w:val="clear"/>
        <w:spacing w:before="0" w:after="0" w:line="360" w:lineRule="auto"/>
        <w:ind w:left="200" w:leftChars="0"/>
        <w:rPr>
          <w:rFonts w:hint="default" w:ascii="Arial" w:hAnsi="Arial" w:eastAsia="Verdana" w:cs="Arial"/>
          <w:b w:val="0"/>
          <w:color w:val="auto"/>
          <w:sz w:val="22"/>
          <w:szCs w:val="22"/>
          <w:lang w:val="pt-PT" w:eastAsia="en-US" w:bidi="ar-SA"/>
        </w:rPr>
      </w:pPr>
      <w:r>
        <w:rPr>
          <w:rFonts w:hint="default" w:ascii="Arial" w:hAnsi="Arial" w:eastAsia="Verdana" w:cs="Arial"/>
          <w:b w:val="0"/>
          <w:color w:val="auto"/>
          <w:sz w:val="22"/>
          <w:szCs w:val="22"/>
          <w:lang w:val="pt-BR" w:eastAsia="en-US" w:bidi="ar-SA"/>
        </w:rPr>
        <w:t xml:space="preserve">13.2 A dotação relativa aos exercícios financeiros subsequentes será indicada após aprovação da Lei Orçamentária respectiva e liberação dos créditos correspondentes, mediante apostilamento. </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w:t>
      </w:r>
      <w:r>
        <w:rPr>
          <w:rFonts w:hint="default" w:ascii="Arial" w:hAnsi="Arial" w:cs="Arial"/>
          <w:lang w:val="pt-BR"/>
        </w:rPr>
        <w:t>6</w:t>
      </w:r>
      <w:r>
        <w:rPr>
          <w:rFonts w:ascii="Arial" w:hAnsi="Arial" w:cs="Arial"/>
        </w:rPr>
        <w:t>.</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bookmarkStart w:id="16" w:name="_GoBack"/>
      <w:bookmarkEnd w:id="16"/>
    </w:p>
    <w:sectPr>
      <w:headerReference r:id="rId3" w:type="default"/>
      <w:footerReference r:id="rId4" w:type="default"/>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2º Andar / Sala 212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6497320" cy="972185"/>
          <wp:effectExtent l="0" t="0" r="0" b="0"/>
          <wp:docPr id="1" name="Imagem 1" descr="Secretaria de Serviços e Equipamentos Públ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erviços e Equipamentos Públicos"/>
                  <pic:cNvPicPr>
                    <a:picLocks noChangeAspect="1"/>
                  </pic:cNvPicPr>
                </pic:nvPicPr>
                <pic:blipFill>
                  <a:blip r:embed="rId1"/>
                  <a:stretch>
                    <a:fillRect/>
                  </a:stretch>
                </pic:blipFill>
                <pic:spPr>
                  <a:xfrm>
                    <a:off x="0" y="0"/>
                    <a:ext cx="6497320" cy="97218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5494E65"/>
    <w:multiLevelType w:val="multilevel"/>
    <w:tmpl w:val="75494E65"/>
    <w:lvl w:ilvl="0" w:tentative="0">
      <w:start w:val="1"/>
      <w:numFmt w:val="bullet"/>
      <w:lvlText w:val="-"/>
      <w:lvlJc w:val="left"/>
      <w:pPr>
        <w:tabs>
          <w:tab w:val="left" w:pos="1440"/>
        </w:tabs>
        <w:ind w:left="1440" w:hanging="360"/>
      </w:pPr>
      <w:rPr>
        <w:rFonts w:hint="default" w:ascii="Arial" w:hAnsi="Arial" w:cs="Aria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cs="Wingdings"/>
      </w:rPr>
    </w:lvl>
    <w:lvl w:ilvl="3" w:tentative="0">
      <w:start w:val="1"/>
      <w:numFmt w:val="bullet"/>
      <w:lvlText w:val=""/>
      <w:lvlJc w:val="left"/>
      <w:pPr>
        <w:tabs>
          <w:tab w:val="left" w:pos="3240"/>
        </w:tabs>
        <w:ind w:left="3240" w:hanging="360"/>
      </w:pPr>
      <w:rPr>
        <w:rFonts w:hint="default" w:ascii="Symbol" w:hAnsi="Symbol" w:cs="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cs="Wingdings"/>
      </w:rPr>
    </w:lvl>
    <w:lvl w:ilvl="6" w:tentative="0">
      <w:start w:val="1"/>
      <w:numFmt w:val="bullet"/>
      <w:lvlText w:val=""/>
      <w:lvlJc w:val="left"/>
      <w:pPr>
        <w:tabs>
          <w:tab w:val="left" w:pos="5400"/>
        </w:tabs>
        <w:ind w:left="5400" w:hanging="360"/>
      </w:pPr>
      <w:rPr>
        <w:rFonts w:hint="default" w:ascii="Symbol" w:hAnsi="Symbol" w:cs="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cs="Wingdings"/>
      </w:rPr>
    </w:lvl>
  </w:abstractNum>
  <w:abstractNum w:abstractNumId="7">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90A03"/>
    <w:rsid w:val="00090C31"/>
    <w:rsid w:val="00092735"/>
    <w:rsid w:val="00097D7B"/>
    <w:rsid w:val="000A1E64"/>
    <w:rsid w:val="000B23ED"/>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B6468"/>
    <w:rsid w:val="00CB7984"/>
    <w:rsid w:val="00CC0C99"/>
    <w:rsid w:val="00CC288A"/>
    <w:rsid w:val="00CC666F"/>
    <w:rsid w:val="00CE1CB6"/>
    <w:rsid w:val="00CF467B"/>
    <w:rsid w:val="00D048D4"/>
    <w:rsid w:val="00D06A05"/>
    <w:rsid w:val="00D22F45"/>
    <w:rsid w:val="00D2348E"/>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6173BEE"/>
    <w:rsid w:val="07AF5961"/>
    <w:rsid w:val="11CC2ACE"/>
    <w:rsid w:val="15F07E30"/>
    <w:rsid w:val="161D19A8"/>
    <w:rsid w:val="17A63D5A"/>
    <w:rsid w:val="1AF72D93"/>
    <w:rsid w:val="1E1C2604"/>
    <w:rsid w:val="1FD12E07"/>
    <w:rsid w:val="259B1CD3"/>
    <w:rsid w:val="2C2B6EC6"/>
    <w:rsid w:val="2F2E6241"/>
    <w:rsid w:val="3C4D19A5"/>
    <w:rsid w:val="3C9967A2"/>
    <w:rsid w:val="3D361311"/>
    <w:rsid w:val="3FD76943"/>
    <w:rsid w:val="501F24D5"/>
    <w:rsid w:val="595F085F"/>
    <w:rsid w:val="5C237373"/>
    <w:rsid w:val="623C6820"/>
    <w:rsid w:val="68532C20"/>
    <w:rsid w:val="6D976237"/>
    <w:rsid w:val="749B1192"/>
    <w:rsid w:val="77B2358A"/>
    <w:rsid w:val="79232B41"/>
    <w:rsid w:val="7D9F0EB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autoRedefine/>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9"/>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4729</Words>
  <Characters>26579</Characters>
  <Lines>243</Lines>
  <Paragraphs>69</Paragraphs>
  <TotalTime>1</TotalTime>
  <ScaleCrop>false</ScaleCrop>
  <LinksUpToDate>false</LinksUpToDate>
  <CharactersWithSpaces>31138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2026-03-03T16:49:50Z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EB6AE60143A045418881AEE9FFB37358_12</vt:lpwstr>
  </property>
</Properties>
</file>